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1C819" w14:textId="08E2922F" w:rsidR="00065535" w:rsidRPr="00727AB8" w:rsidRDefault="00266EC2" w:rsidP="002A352C">
      <w:pPr>
        <w:pStyle w:val="Title"/>
        <w:spacing w:before="120" w:after="0" w:line="264" w:lineRule="auto"/>
        <w:rPr>
          <w:rFonts w:eastAsia="Palatino Linotype"/>
          <w:sz w:val="32"/>
          <w:szCs w:val="32"/>
        </w:rPr>
      </w:pPr>
      <w:r w:rsidRPr="00727AB8">
        <w:rPr>
          <w:rFonts w:eastAsia="Palatino Linotype"/>
          <w:sz w:val="32"/>
          <w:szCs w:val="32"/>
        </w:rPr>
        <w:t>Artificial intelligence adoption in supply chain risk management: Scale development and validation</w:t>
      </w:r>
    </w:p>
    <w:p w14:paraId="5EA9B5C2" w14:textId="071F64CB" w:rsidR="00065535" w:rsidRPr="00727AB8" w:rsidRDefault="00266EC2" w:rsidP="00727AB8">
      <w:pPr>
        <w:pStyle w:val="Tcgi"/>
        <w:spacing w:before="200" w:after="240"/>
        <w:rPr>
          <w:b/>
          <w:vertAlign w:val="superscript"/>
        </w:rPr>
      </w:pPr>
      <w:r w:rsidRPr="00727AB8">
        <w:rPr>
          <w:shd w:val="clear" w:color="auto" w:fill="FFFFFF"/>
          <w:lang w:val="fr-FR"/>
        </w:rPr>
        <w:t>Paul Souma Kanti</w:t>
      </w:r>
      <w:r w:rsidR="008B2A21" w:rsidRPr="00727AB8">
        <w:rPr>
          <w:shd w:val="clear" w:color="auto" w:fill="FFFFFF"/>
          <w:vertAlign w:val="superscript"/>
          <w:lang w:val="fr-FR"/>
        </w:rPr>
        <w:t>1</w:t>
      </w:r>
      <w:r w:rsidR="00EB7810" w:rsidRPr="00727AB8">
        <w:rPr>
          <w:shd w:val="clear" w:color="auto" w:fill="FFFFFF"/>
          <w:vertAlign w:val="superscript"/>
          <w:lang w:val="fr-FR"/>
        </w:rPr>
        <w:t>*</w:t>
      </w:r>
      <w:r w:rsidR="00D6458A" w:rsidRPr="00727AB8">
        <w:rPr>
          <w:shd w:val="clear" w:color="auto" w:fill="FFFFFF"/>
          <w:lang w:val="fr-FR"/>
        </w:rPr>
        <w:t xml:space="preserve">, </w:t>
      </w:r>
      <w:r w:rsidRPr="00727AB8">
        <w:rPr>
          <w:shd w:val="clear" w:color="auto" w:fill="FFFFFF"/>
          <w:lang w:val="fr-FR"/>
        </w:rPr>
        <w:t>Riaz Sadia</w:t>
      </w:r>
      <w:r w:rsidR="00B03857" w:rsidRPr="00727AB8">
        <w:rPr>
          <w:shd w:val="clear" w:color="auto" w:fill="FFFFFF"/>
          <w:vertAlign w:val="superscript"/>
          <w:lang w:val="fr-FR"/>
        </w:rPr>
        <w:t>2</w:t>
      </w:r>
      <w:r w:rsidRPr="00727AB8">
        <w:rPr>
          <w:shd w:val="clear" w:color="auto" w:fill="FFFFFF"/>
          <w:lang w:val="fr-FR"/>
        </w:rPr>
        <w:t>, Das Suchismita</w:t>
      </w:r>
      <w:r w:rsidR="001E0776" w:rsidRPr="00727AB8">
        <w:rPr>
          <w:shd w:val="clear" w:color="auto" w:fill="FFFFFF"/>
          <w:vertAlign w:val="superscript"/>
          <w:lang w:val="fr-FR"/>
        </w:rPr>
        <w:t>1</w:t>
      </w:r>
    </w:p>
    <w:p w14:paraId="4F950A8F" w14:textId="300E5D92" w:rsidR="008B2A21" w:rsidRPr="00727AB8" w:rsidRDefault="005140DF" w:rsidP="00727AB8">
      <w:pPr>
        <w:pStyle w:val="TTTG"/>
        <w:rPr>
          <w:vertAlign w:val="superscript"/>
        </w:rPr>
      </w:pPr>
      <w:r w:rsidRPr="00727AB8">
        <w:rPr>
          <w:vertAlign w:val="superscript"/>
        </w:rPr>
        <w:t>1</w:t>
      </w:r>
      <w:r w:rsidR="00266EC2" w:rsidRPr="00727AB8">
        <w:t>S P Jain School of Global Management</w:t>
      </w:r>
      <w:r w:rsidR="008B2A21" w:rsidRPr="00727AB8">
        <w:t xml:space="preserve">, </w:t>
      </w:r>
      <w:r w:rsidR="00F51096" w:rsidRPr="00727AB8">
        <w:t>Mumbai</w:t>
      </w:r>
    </w:p>
    <w:p w14:paraId="662BB6D3" w14:textId="393D752D" w:rsidR="00B03857" w:rsidRPr="00727AB8" w:rsidRDefault="00B03857" w:rsidP="00727AB8">
      <w:pPr>
        <w:pStyle w:val="TTTG"/>
        <w:rPr>
          <w:vertAlign w:val="superscript"/>
        </w:rPr>
      </w:pPr>
      <w:r w:rsidRPr="00727AB8">
        <w:rPr>
          <w:vertAlign w:val="superscript"/>
        </w:rPr>
        <w:t>2</w:t>
      </w:r>
      <w:r w:rsidRPr="00727AB8">
        <w:t xml:space="preserve">S P Jain School of Global Management, </w:t>
      </w:r>
      <w:r w:rsidR="00DA78E8" w:rsidRPr="00727AB8">
        <w:t>Mumbai, India and Dubai, UAE</w:t>
      </w:r>
    </w:p>
    <w:p w14:paraId="08549AA4" w14:textId="7225E96A" w:rsidR="006005EE" w:rsidRPr="00727AB8" w:rsidRDefault="005140DF" w:rsidP="00727AB8">
      <w:pPr>
        <w:pStyle w:val="TTTG"/>
      </w:pPr>
      <w:r w:rsidRPr="00727AB8">
        <w:rPr>
          <w:vertAlign w:val="superscript"/>
        </w:rPr>
        <w:t>*</w:t>
      </w:r>
      <w:r w:rsidR="008B2A21" w:rsidRPr="00727AB8">
        <w:t xml:space="preserve">Corresponding author: </w:t>
      </w:r>
      <w:r w:rsidR="00266EC2" w:rsidRPr="00727AB8">
        <w:rPr>
          <w:rStyle w:val="Hyperlink"/>
          <w:color w:val="auto"/>
          <w:u w:val="none"/>
        </w:rPr>
        <w:t>souma.dj19dba001@spjain.org</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727AB8" w:rsidRPr="00727AB8" w14:paraId="4E7CDE9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30BD3263" w14:textId="06F691FF" w:rsidR="00120B40" w:rsidRPr="00727AB8" w:rsidRDefault="008B2A21" w:rsidP="00727AB8">
            <w:pPr>
              <w:widowControl w:val="0"/>
              <w:spacing w:before="120" w:after="120"/>
              <w:jc w:val="center"/>
              <w:rPr>
                <w:b/>
                <w:sz w:val="24"/>
                <w:szCs w:val="24"/>
              </w:rPr>
            </w:pPr>
            <w:bookmarkStart w:id="0" w:name="_Hlk45010294"/>
            <w:r w:rsidRPr="00727AB8">
              <w:rPr>
                <w:rFonts w:eastAsia="Sitka Banner"/>
                <w:b/>
                <w:sz w:val="24"/>
                <w:szCs w:val="24"/>
              </w:rPr>
              <w:t>ARTICLE INFO</w:t>
            </w:r>
          </w:p>
        </w:tc>
        <w:tc>
          <w:tcPr>
            <w:tcW w:w="6521" w:type="dxa"/>
            <w:tcBorders>
              <w:top w:val="single" w:sz="4" w:space="0" w:color="auto"/>
              <w:bottom w:val="single" w:sz="4" w:space="0" w:color="auto"/>
            </w:tcBorders>
            <w:vAlign w:val="center"/>
          </w:tcPr>
          <w:p w14:paraId="6542CB44" w14:textId="76310BFF" w:rsidR="00120B40" w:rsidRPr="00727AB8" w:rsidRDefault="008B2A21" w:rsidP="00727AB8">
            <w:pPr>
              <w:widowControl w:val="0"/>
              <w:spacing w:before="120" w:after="120"/>
              <w:jc w:val="center"/>
              <w:rPr>
                <w:b/>
                <w:sz w:val="24"/>
                <w:szCs w:val="24"/>
              </w:rPr>
            </w:pPr>
            <w:r w:rsidRPr="00727AB8">
              <w:rPr>
                <w:b/>
                <w:sz w:val="24"/>
                <w:szCs w:val="24"/>
              </w:rPr>
              <w:t>ABSTRACT</w:t>
            </w:r>
          </w:p>
        </w:tc>
      </w:tr>
      <w:tr w:rsidR="00727AB8" w:rsidRPr="00727AB8" w14:paraId="1ABCE57E" w14:textId="77777777" w:rsidTr="008267C2">
        <w:trPr>
          <w:jc w:val="center"/>
        </w:trPr>
        <w:tc>
          <w:tcPr>
            <w:tcW w:w="2835" w:type="dxa"/>
            <w:tcBorders>
              <w:top w:val="single" w:sz="4" w:space="0" w:color="auto"/>
              <w:bottom w:val="single" w:sz="4" w:space="0" w:color="auto"/>
            </w:tcBorders>
            <w:shd w:val="clear" w:color="auto" w:fill="FFFFFF" w:themeFill="background1"/>
          </w:tcPr>
          <w:p w14:paraId="1C66CC4B" w14:textId="6E846215" w:rsidR="00A25A0D" w:rsidRPr="00727AB8" w:rsidRDefault="00C6137C" w:rsidP="00727AB8">
            <w:pPr>
              <w:widowControl w:val="0"/>
              <w:spacing w:before="120"/>
              <w:rPr>
                <w:sz w:val="22"/>
                <w:szCs w:val="22"/>
              </w:rPr>
            </w:pPr>
            <w:r w:rsidRPr="00727AB8">
              <w:rPr>
                <w:b/>
                <w:sz w:val="22"/>
                <w:szCs w:val="22"/>
              </w:rPr>
              <w:t>DOI</w:t>
            </w:r>
            <w:proofErr w:type="gramStart"/>
            <w:r w:rsidRPr="00727AB8">
              <w:rPr>
                <w:b/>
                <w:sz w:val="22"/>
                <w:szCs w:val="22"/>
              </w:rPr>
              <w:t>:</w:t>
            </w:r>
            <w:r w:rsidRPr="00727AB8">
              <w:rPr>
                <w:sz w:val="22"/>
                <w:szCs w:val="22"/>
              </w:rPr>
              <w:t>10.46223</w:t>
            </w:r>
            <w:proofErr w:type="gramEnd"/>
            <w:r w:rsidRPr="00727AB8">
              <w:rPr>
                <w:sz w:val="22"/>
                <w:szCs w:val="22"/>
              </w:rPr>
              <w:t>/HCMCOUJS.</w:t>
            </w:r>
            <w:r w:rsidR="00A01050" w:rsidRPr="00727AB8">
              <w:rPr>
                <w:sz w:val="22"/>
                <w:szCs w:val="22"/>
                <w:shd w:val="clear" w:color="auto" w:fill="FFFFFF"/>
              </w:rPr>
              <w:t xml:space="preserve"> </w:t>
            </w:r>
            <w:r w:rsidR="00832FFD" w:rsidRPr="00727AB8">
              <w:rPr>
                <w:sz w:val="22"/>
                <w:szCs w:val="22"/>
              </w:rPr>
              <w:br/>
            </w:r>
            <w:r w:rsidR="001E0776" w:rsidRPr="00727AB8">
              <w:rPr>
                <w:sz w:val="22"/>
                <w:szCs w:val="22"/>
              </w:rPr>
              <w:t>econ.en.</w:t>
            </w:r>
            <w:r w:rsidR="00FA233E" w:rsidRPr="00727AB8">
              <w:rPr>
                <w:sz w:val="22"/>
                <w:szCs w:val="22"/>
              </w:rPr>
              <w:t>12.2.2142.2022</w:t>
            </w:r>
          </w:p>
          <w:p w14:paraId="1AF01626" w14:textId="48B5B208" w:rsidR="00EC0BF8" w:rsidRPr="00727AB8" w:rsidRDefault="00EC0BF8" w:rsidP="00727AB8">
            <w:pPr>
              <w:widowControl w:val="0"/>
              <w:spacing w:before="120"/>
              <w:rPr>
                <w:sz w:val="22"/>
                <w:szCs w:val="22"/>
              </w:rPr>
            </w:pPr>
          </w:p>
          <w:p w14:paraId="7D7BC521" w14:textId="6B3AF616" w:rsidR="00B924A2" w:rsidRPr="00727AB8" w:rsidRDefault="00B924A2" w:rsidP="00727AB8">
            <w:pPr>
              <w:widowControl w:val="0"/>
              <w:spacing w:before="120"/>
              <w:rPr>
                <w:sz w:val="22"/>
                <w:szCs w:val="22"/>
              </w:rPr>
            </w:pPr>
          </w:p>
          <w:p w14:paraId="4FFF90F1" w14:textId="77777777" w:rsidR="00B924A2" w:rsidRPr="00727AB8" w:rsidRDefault="00B924A2" w:rsidP="00727AB8">
            <w:pPr>
              <w:widowControl w:val="0"/>
              <w:spacing w:before="120"/>
              <w:rPr>
                <w:sz w:val="22"/>
                <w:szCs w:val="22"/>
              </w:rPr>
            </w:pPr>
          </w:p>
          <w:p w14:paraId="2EB82CDE" w14:textId="4169A00E" w:rsidR="00C5383C" w:rsidRPr="00727AB8" w:rsidRDefault="00DF100B" w:rsidP="00727AB8">
            <w:pPr>
              <w:pStyle w:val="Datearticle"/>
              <w:widowControl w:val="0"/>
              <w:rPr>
                <w:sz w:val="22"/>
                <w:szCs w:val="22"/>
              </w:rPr>
            </w:pPr>
            <w:r w:rsidRPr="00727AB8">
              <w:rPr>
                <w:sz w:val="22"/>
                <w:szCs w:val="22"/>
              </w:rPr>
              <w:t>Received</w:t>
            </w:r>
            <w:r w:rsidR="00037C88" w:rsidRPr="00727AB8">
              <w:rPr>
                <w:sz w:val="22"/>
                <w:szCs w:val="22"/>
              </w:rPr>
              <w:t xml:space="preserve">: </w:t>
            </w:r>
            <w:r w:rsidR="00D6458A" w:rsidRPr="00727AB8">
              <w:rPr>
                <w:sz w:val="22"/>
                <w:szCs w:val="22"/>
              </w:rPr>
              <w:t>January</w:t>
            </w:r>
            <w:r w:rsidR="00EB7810" w:rsidRPr="00727AB8">
              <w:rPr>
                <w:sz w:val="22"/>
                <w:szCs w:val="22"/>
              </w:rPr>
              <w:t xml:space="preserve"> </w:t>
            </w:r>
            <w:r w:rsidR="00266EC2" w:rsidRPr="00727AB8">
              <w:rPr>
                <w:sz w:val="22"/>
                <w:szCs w:val="22"/>
              </w:rPr>
              <w:t>07</w:t>
            </w:r>
            <w:r w:rsidR="00EB7810" w:rsidRPr="00727AB8">
              <w:rPr>
                <w:sz w:val="22"/>
                <w:szCs w:val="22"/>
                <w:vertAlign w:val="superscript"/>
              </w:rPr>
              <w:t>t</w:t>
            </w:r>
            <w:r w:rsidR="002618AA" w:rsidRPr="00727AB8">
              <w:rPr>
                <w:sz w:val="22"/>
                <w:szCs w:val="22"/>
                <w:vertAlign w:val="superscript"/>
              </w:rPr>
              <w:t>h</w:t>
            </w:r>
            <w:r w:rsidR="00D6458A" w:rsidRPr="00727AB8">
              <w:rPr>
                <w:sz w:val="22"/>
                <w:szCs w:val="22"/>
              </w:rPr>
              <w:t>, 2022</w:t>
            </w:r>
          </w:p>
          <w:p w14:paraId="6A9E0F65" w14:textId="75CF12D8" w:rsidR="00C5383C" w:rsidRPr="00727AB8" w:rsidRDefault="00DF100B" w:rsidP="00727AB8">
            <w:pPr>
              <w:pStyle w:val="Datearticle"/>
              <w:widowControl w:val="0"/>
              <w:rPr>
                <w:sz w:val="22"/>
                <w:szCs w:val="22"/>
              </w:rPr>
            </w:pPr>
            <w:r w:rsidRPr="00727AB8">
              <w:rPr>
                <w:sz w:val="22"/>
                <w:szCs w:val="22"/>
              </w:rPr>
              <w:t>Revised</w:t>
            </w:r>
            <w:r w:rsidR="00C5383C" w:rsidRPr="00727AB8">
              <w:rPr>
                <w:sz w:val="22"/>
                <w:szCs w:val="22"/>
              </w:rPr>
              <w:t xml:space="preserve">: </w:t>
            </w:r>
            <w:r w:rsidR="00D6458A" w:rsidRPr="00727AB8">
              <w:rPr>
                <w:sz w:val="22"/>
                <w:szCs w:val="22"/>
              </w:rPr>
              <w:t>January 17</w:t>
            </w:r>
            <w:r w:rsidR="00EB7810" w:rsidRPr="00727AB8">
              <w:rPr>
                <w:sz w:val="22"/>
                <w:szCs w:val="22"/>
                <w:vertAlign w:val="superscript"/>
              </w:rPr>
              <w:t>th</w:t>
            </w:r>
            <w:r w:rsidR="00EB7810" w:rsidRPr="00727AB8">
              <w:rPr>
                <w:sz w:val="22"/>
                <w:szCs w:val="22"/>
              </w:rPr>
              <w:t>, 202</w:t>
            </w:r>
            <w:r w:rsidR="00EC0BF8" w:rsidRPr="00727AB8">
              <w:rPr>
                <w:sz w:val="22"/>
                <w:szCs w:val="22"/>
              </w:rPr>
              <w:t>2</w:t>
            </w:r>
          </w:p>
          <w:p w14:paraId="4CC19239" w14:textId="19843262" w:rsidR="00C5383C" w:rsidRPr="00727AB8" w:rsidRDefault="00DF100B" w:rsidP="00727AB8">
            <w:pPr>
              <w:pStyle w:val="Datearticle"/>
              <w:widowControl w:val="0"/>
              <w:rPr>
                <w:sz w:val="22"/>
                <w:szCs w:val="22"/>
              </w:rPr>
            </w:pPr>
            <w:r w:rsidRPr="00727AB8">
              <w:rPr>
                <w:sz w:val="22"/>
                <w:szCs w:val="22"/>
              </w:rPr>
              <w:t>Accepted</w:t>
            </w:r>
            <w:r w:rsidR="00037C88" w:rsidRPr="00727AB8">
              <w:rPr>
                <w:sz w:val="22"/>
                <w:szCs w:val="22"/>
              </w:rPr>
              <w:t xml:space="preserve">: </w:t>
            </w:r>
            <w:r w:rsidR="00266EC2" w:rsidRPr="00727AB8">
              <w:rPr>
                <w:sz w:val="22"/>
                <w:szCs w:val="22"/>
              </w:rPr>
              <w:t>February 25</w:t>
            </w:r>
            <w:r w:rsidR="00EC0BF8" w:rsidRPr="00727AB8">
              <w:rPr>
                <w:sz w:val="22"/>
                <w:szCs w:val="22"/>
                <w:vertAlign w:val="superscript"/>
              </w:rPr>
              <w:t>th</w:t>
            </w:r>
            <w:r w:rsidR="00EC0BF8" w:rsidRPr="00727AB8">
              <w:rPr>
                <w:sz w:val="22"/>
                <w:szCs w:val="22"/>
              </w:rPr>
              <w:t>, 2022</w:t>
            </w:r>
          </w:p>
          <w:p w14:paraId="3818455A" w14:textId="44B11220" w:rsidR="00A25A0D" w:rsidRPr="00727AB8" w:rsidRDefault="00A25A0D" w:rsidP="00727AB8">
            <w:pPr>
              <w:widowControl w:val="0"/>
              <w:spacing w:before="120"/>
              <w:rPr>
                <w:i/>
                <w:sz w:val="22"/>
                <w:szCs w:val="22"/>
              </w:rPr>
            </w:pPr>
          </w:p>
          <w:p w14:paraId="30E10BAB" w14:textId="2E238C6F" w:rsidR="00EB7810" w:rsidRPr="00727AB8" w:rsidRDefault="00EB7810" w:rsidP="00727AB8">
            <w:pPr>
              <w:widowControl w:val="0"/>
              <w:spacing w:before="120"/>
              <w:rPr>
                <w:i/>
                <w:sz w:val="22"/>
                <w:szCs w:val="22"/>
              </w:rPr>
            </w:pPr>
          </w:p>
          <w:p w14:paraId="24CF47D5" w14:textId="7A95CA0E" w:rsidR="00B924A2" w:rsidRPr="00727AB8" w:rsidRDefault="00B924A2" w:rsidP="00727AB8">
            <w:pPr>
              <w:widowControl w:val="0"/>
              <w:spacing w:before="120"/>
              <w:rPr>
                <w:i/>
                <w:sz w:val="22"/>
                <w:szCs w:val="22"/>
              </w:rPr>
            </w:pPr>
          </w:p>
          <w:p w14:paraId="5F756A94" w14:textId="69B548DB" w:rsidR="00B924A2" w:rsidRPr="00727AB8" w:rsidRDefault="00B924A2" w:rsidP="00727AB8">
            <w:pPr>
              <w:widowControl w:val="0"/>
              <w:spacing w:before="120"/>
              <w:rPr>
                <w:i/>
                <w:sz w:val="22"/>
                <w:szCs w:val="22"/>
              </w:rPr>
            </w:pPr>
          </w:p>
          <w:p w14:paraId="6AB8E96D" w14:textId="208128AC" w:rsidR="004F5AE2" w:rsidRPr="00727AB8" w:rsidRDefault="004F5AE2" w:rsidP="00727AB8">
            <w:pPr>
              <w:widowControl w:val="0"/>
              <w:spacing w:before="120"/>
              <w:rPr>
                <w:i/>
                <w:sz w:val="22"/>
                <w:szCs w:val="22"/>
              </w:rPr>
            </w:pPr>
          </w:p>
          <w:p w14:paraId="16020E67" w14:textId="1592FE11" w:rsidR="004F5AE2" w:rsidRPr="00727AB8" w:rsidRDefault="004F5AE2" w:rsidP="00727AB8">
            <w:pPr>
              <w:widowControl w:val="0"/>
              <w:spacing w:before="120"/>
              <w:rPr>
                <w:i/>
                <w:sz w:val="22"/>
                <w:szCs w:val="22"/>
              </w:rPr>
            </w:pPr>
          </w:p>
          <w:p w14:paraId="43299E4E" w14:textId="19ED70EF" w:rsidR="004F5AE2" w:rsidRPr="00727AB8" w:rsidRDefault="004F5AE2" w:rsidP="00727AB8">
            <w:pPr>
              <w:widowControl w:val="0"/>
              <w:spacing w:before="120"/>
              <w:rPr>
                <w:i/>
                <w:sz w:val="22"/>
                <w:szCs w:val="22"/>
              </w:rPr>
            </w:pPr>
          </w:p>
          <w:p w14:paraId="16295A33" w14:textId="77777777" w:rsidR="00120B40" w:rsidRPr="00727AB8" w:rsidRDefault="00120B40" w:rsidP="00727AB8">
            <w:pPr>
              <w:widowControl w:val="0"/>
              <w:spacing w:before="120"/>
              <w:rPr>
                <w:i/>
                <w:sz w:val="22"/>
                <w:szCs w:val="22"/>
              </w:rPr>
            </w:pPr>
            <w:r w:rsidRPr="00727AB8">
              <w:rPr>
                <w:i/>
                <w:sz w:val="22"/>
                <w:szCs w:val="22"/>
              </w:rPr>
              <w:t>Keyword</w:t>
            </w:r>
            <w:r w:rsidR="00C57E03" w:rsidRPr="00727AB8">
              <w:rPr>
                <w:i/>
                <w:sz w:val="22"/>
                <w:szCs w:val="22"/>
              </w:rPr>
              <w:t>s</w:t>
            </w:r>
            <w:r w:rsidRPr="00727AB8">
              <w:rPr>
                <w:i/>
                <w:sz w:val="22"/>
                <w:szCs w:val="22"/>
              </w:rPr>
              <w:t xml:space="preserve">: </w:t>
            </w:r>
          </w:p>
          <w:p w14:paraId="4B761B76" w14:textId="2D7A0F6C" w:rsidR="00120B40" w:rsidRPr="00727AB8" w:rsidRDefault="00B924A2" w:rsidP="00727AB8">
            <w:pPr>
              <w:widowControl w:val="0"/>
              <w:spacing w:before="120" w:after="120"/>
              <w:rPr>
                <w:sz w:val="22"/>
                <w:szCs w:val="22"/>
              </w:rPr>
            </w:pPr>
            <w:r w:rsidRPr="00727AB8">
              <w:rPr>
                <w:sz w:val="22"/>
                <w:szCs w:val="22"/>
              </w:rPr>
              <w:t xml:space="preserve">artificial intelligence; </w:t>
            </w:r>
            <w:r w:rsidR="00922F6F" w:rsidRPr="00727AB8">
              <w:rPr>
                <w:sz w:val="22"/>
                <w:szCs w:val="22"/>
              </w:rPr>
              <w:t xml:space="preserve">scale development; scale validation; </w:t>
            </w:r>
            <w:r w:rsidR="009A7DAA" w:rsidRPr="00727AB8">
              <w:rPr>
                <w:sz w:val="22"/>
                <w:szCs w:val="22"/>
              </w:rPr>
              <w:t>SCRM</w:t>
            </w:r>
            <w:r w:rsidR="009A7DAA" w:rsidRPr="00727AB8">
              <w:t>; supply</w:t>
            </w:r>
            <w:r w:rsidRPr="00727AB8">
              <w:rPr>
                <w:sz w:val="22"/>
                <w:szCs w:val="22"/>
              </w:rPr>
              <w:t xml:space="preserve"> chain risk management </w:t>
            </w:r>
          </w:p>
        </w:tc>
        <w:tc>
          <w:tcPr>
            <w:tcW w:w="6521" w:type="dxa"/>
            <w:tcBorders>
              <w:top w:val="single" w:sz="4" w:space="0" w:color="auto"/>
              <w:bottom w:val="single" w:sz="4" w:space="0" w:color="auto"/>
            </w:tcBorders>
          </w:tcPr>
          <w:p w14:paraId="529434DD" w14:textId="0DFE5615" w:rsidR="00120B40" w:rsidRPr="00727AB8" w:rsidRDefault="00B924A2" w:rsidP="00727AB8">
            <w:pPr>
              <w:pStyle w:val="BodyText"/>
              <w:widowControl w:val="0"/>
              <w:spacing w:after="120" w:line="252" w:lineRule="auto"/>
              <w:ind w:left="159" w:firstLine="431"/>
            </w:pPr>
            <w:r w:rsidRPr="00727AB8">
              <w:t xml:space="preserve">Artificial Intelligence </w:t>
            </w:r>
            <w:r w:rsidR="00313A30" w:rsidRPr="00727AB8">
              <w:t xml:space="preserve">(AI) </w:t>
            </w:r>
            <w:r w:rsidRPr="00727AB8">
              <w:t xml:space="preserve">can play an important role in the </w:t>
            </w:r>
            <w:r w:rsidR="000D3FFB" w:rsidRPr="00727AB8">
              <w:t>post-Covid-19</w:t>
            </w:r>
            <w:r w:rsidRPr="00727AB8">
              <w:t xml:space="preserve"> world to proactively enable the identification, assessment, and mitigation of supply chain risks as well as provide managerial insights for responding to those risks. There has been a growing interest among supply chain executives to adopt AI </w:t>
            </w:r>
            <w:r w:rsidR="00450E46" w:rsidRPr="00727AB8">
              <w:t>for</w:t>
            </w:r>
            <w:r w:rsidRPr="00727AB8">
              <w:t xml:space="preserve"> Supply Chain Risk Management (SCRM). The purpose of this paper is to develop an instrument to assess and measure the factors influencing the adoption of AI in SCRM. The development of the instrument has been done in stages covering factor identification, item generation, pre-testing, pilot testing, and scale validation. Data has been collected through a survey of supply chain executives, risk professionals, and AI consultants across manufacturing, wholesale trade, retail trade</w:t>
            </w:r>
            <w:r w:rsidR="000D3FFB" w:rsidRPr="00727AB8">
              <w:t>,</w:t>
            </w:r>
            <w:r w:rsidRPr="00727AB8">
              <w:t xml:space="preserve"> and services industries in India. The questionnaire has been pre-tested based on interviews with nine industry experts and two academicians. The scale has been assessed for reliability and validity using Confirmatory Factor Analysis. The scale generated consists of eight factors that are modeled as latent variables covering a total of twenty-eight items. The systematic approach followed resulted in a scale fulfilling a need for the creation of an empirically validated instrument for AI adoption studies in the field of SCRM. This instrument can be used by supply chain executives and researchers to examine and measure factors that influence the adoption of AI in SCRM for the selected industries.</w:t>
            </w:r>
          </w:p>
        </w:tc>
      </w:tr>
    </w:tbl>
    <w:bookmarkEnd w:id="0"/>
    <w:p w14:paraId="5BBCD921" w14:textId="06396D54" w:rsidR="00C66953" w:rsidRPr="00727AB8" w:rsidRDefault="00065535" w:rsidP="00727AB8">
      <w:pPr>
        <w:pStyle w:val="Heading1"/>
        <w:spacing w:before="240" w:line="252" w:lineRule="auto"/>
        <w:ind w:left="0" w:firstLine="720"/>
      </w:pPr>
      <w:r w:rsidRPr="00727AB8">
        <w:t xml:space="preserve">1. </w:t>
      </w:r>
      <w:r w:rsidR="00DF100B" w:rsidRPr="00727AB8">
        <w:t>Introduction</w:t>
      </w:r>
    </w:p>
    <w:p w14:paraId="31FECA55" w14:textId="77777777" w:rsidR="00B924A2" w:rsidRPr="00727AB8" w:rsidRDefault="00B924A2" w:rsidP="00727AB8">
      <w:pPr>
        <w:pStyle w:val="BodyText"/>
        <w:spacing w:line="252" w:lineRule="auto"/>
      </w:pPr>
      <w:r w:rsidRPr="00727AB8">
        <w:rPr>
          <w:lang w:val="en-GB"/>
        </w:rPr>
        <w:t xml:space="preserve">The Covid-19 pandemic has pushed supply chain executives to re-look at the resilience of their organizations and focus on supply chain risk management. Organizations have been affected severely because of Covid-19 exposing supply chain vulnerabilities and leading to performance bottlenecks and financial impact. Past research has shown that companies that have experienced supply chain disruptions have a high probability of suffering long-term financial impact (Kumar et al., 2018). </w:t>
      </w:r>
    </w:p>
    <w:p w14:paraId="16A4E431" w14:textId="07787A7F" w:rsidR="00B924A2" w:rsidRPr="00727AB8" w:rsidRDefault="00B924A2" w:rsidP="00727AB8">
      <w:pPr>
        <w:pStyle w:val="BodyText"/>
        <w:spacing w:line="252" w:lineRule="auto"/>
        <w:rPr>
          <w:lang w:val="en-GB"/>
        </w:rPr>
      </w:pPr>
      <w:r w:rsidRPr="00727AB8">
        <w:t xml:space="preserve">Researchers have been increasingly studying the applications of Artificial Intelligence (AI) in Supply Chain Risk Management (SCRM). McKinsey and Company estimate that AI’s potential impact </w:t>
      </w:r>
      <w:r w:rsidR="00490D0C" w:rsidRPr="00727AB8">
        <w:t xml:space="preserve">on </w:t>
      </w:r>
      <w:r w:rsidRPr="00727AB8">
        <w:t xml:space="preserve">supply chain management will be between 1.2 to 2.0 trillion USD, while the potential </w:t>
      </w:r>
      <w:r w:rsidRPr="00727AB8">
        <w:lastRenderedPageBreak/>
        <w:t>impact of AI in overall risk-related use cases will be 0.2 trillion USD globally (Chui et al., 2018). AI is a growing field and defining AI precisely is difficult because the definition tends to change based on the specific context of research or the specific application (Bughin</w:t>
      </w:r>
      <w:r w:rsidR="004F5AE2" w:rsidRPr="00727AB8">
        <w:t>,</w:t>
      </w:r>
      <w:r w:rsidRPr="00727AB8">
        <w:t xml:space="preserve"> </w:t>
      </w:r>
      <w:r w:rsidR="004F5AE2" w:rsidRPr="00727AB8">
        <w:rPr>
          <w:lang w:val="en-GB"/>
        </w:rPr>
        <w:t>Seong, Manyika, Chui, &amp; Joshi,</w:t>
      </w:r>
      <w:r w:rsidR="004F5AE2" w:rsidRPr="00727AB8">
        <w:t xml:space="preserve"> </w:t>
      </w:r>
      <w:r w:rsidRPr="00727AB8">
        <w:t xml:space="preserve">2018). The AI techniques that form the bulk of applications categorized as AI are those that involve artificial neural networks and deep learning (Haenlein </w:t>
      </w:r>
      <w:r w:rsidR="004F5AE2" w:rsidRPr="00727AB8">
        <w:t>&amp;</w:t>
      </w:r>
      <w:r w:rsidRPr="00727AB8">
        <w:t xml:space="preserve"> Kaplan, 2019). As per the Artificial Intelligence Index Report 2021, published by Stanford University, business establishments were most likely to identify AI techniques as those covering areas like computer vision, deep learning, natural language processing, and other machine learning techniques (Zhang et al., 2021). Likewise, for this paper, we consider the following focused set of AI techniques, namely (1) machine learning, (2) deep learning (using neural networks), (3) computer vision, and (4) natural language processing. Past research has also shown that managers can succeed in their organizations by incorporating more AI in the thinking tasks and </w:t>
      </w:r>
      <w:r w:rsidR="00D407EB" w:rsidRPr="00727AB8">
        <w:t xml:space="preserve">gravitating </w:t>
      </w:r>
      <w:r w:rsidRPr="00727AB8">
        <w:t xml:space="preserve">employees </w:t>
      </w:r>
      <w:r w:rsidR="00D407EB" w:rsidRPr="00727AB8">
        <w:t xml:space="preserve">toward </w:t>
      </w:r>
      <w:r w:rsidRPr="00727AB8">
        <w:t xml:space="preserve">tasks that require emotion, </w:t>
      </w:r>
      <w:r w:rsidRPr="00727AB8">
        <w:rPr>
          <w:lang w:val="en-GB"/>
        </w:rPr>
        <w:t>empathy, and personal relationship skills (Huang</w:t>
      </w:r>
      <w:r w:rsidR="00970AB0" w:rsidRPr="00727AB8">
        <w:rPr>
          <w:lang w:val="en-GB"/>
        </w:rPr>
        <w:t>,</w:t>
      </w:r>
      <w:r w:rsidRPr="00727AB8">
        <w:rPr>
          <w:lang w:val="en-GB"/>
        </w:rPr>
        <w:t xml:space="preserve"> </w:t>
      </w:r>
      <w:r w:rsidR="00970AB0" w:rsidRPr="00727AB8">
        <w:rPr>
          <w:lang w:val="en-GB"/>
        </w:rPr>
        <w:t xml:space="preserve">Rust, &amp; Maksimovic, </w:t>
      </w:r>
      <w:r w:rsidRPr="00727AB8">
        <w:rPr>
          <w:lang w:val="en-GB"/>
        </w:rPr>
        <w:t>2019). Hence, it may be argued that supply chain executives and managers stand to benefit from the adoption of AI in the area of supply chain risk management.</w:t>
      </w:r>
    </w:p>
    <w:p w14:paraId="4ED2DFF3" w14:textId="636D94B7" w:rsidR="00B924A2" w:rsidRPr="00727AB8" w:rsidRDefault="00B924A2" w:rsidP="00727AB8">
      <w:pPr>
        <w:pStyle w:val="BodyText"/>
        <w:spacing w:line="252" w:lineRule="auto"/>
        <w:rPr>
          <w:lang w:val="en-IN"/>
        </w:rPr>
      </w:pPr>
      <w:r w:rsidRPr="00727AB8">
        <w:rPr>
          <w:lang w:val="en-GB"/>
        </w:rPr>
        <w:t>Similarly, the field of SCRM has also been evolving. SCRM comprises four fundamental factors, namely, supply chain risk sources, risk consequences, risk drivers, and risk mitigation (Jüttner</w:t>
      </w:r>
      <w:r w:rsidR="00970AB0" w:rsidRPr="00727AB8">
        <w:rPr>
          <w:lang w:val="en-GB"/>
        </w:rPr>
        <w:t>,</w:t>
      </w:r>
      <w:r w:rsidRPr="00727AB8">
        <w:rPr>
          <w:lang w:val="en-GB"/>
        </w:rPr>
        <w:t xml:space="preserve"> </w:t>
      </w:r>
      <w:r w:rsidR="00970AB0" w:rsidRPr="00727AB8">
        <w:rPr>
          <w:lang w:val="en-GB"/>
        </w:rPr>
        <w:t xml:space="preserve">Peck, &amp; Christopher, </w:t>
      </w:r>
      <w:r w:rsidRPr="00727AB8">
        <w:rPr>
          <w:lang w:val="en-GB"/>
        </w:rPr>
        <w:t xml:space="preserve">2003). Colicchia and Strozzi (2012) defined SCRM as managing supply chain risks through active collaboration between all supply chain partners to mitigate supply chain disruptions and </w:t>
      </w:r>
      <w:r w:rsidR="00D407EB" w:rsidRPr="00727AB8">
        <w:rPr>
          <w:lang w:val="en-GB"/>
        </w:rPr>
        <w:t xml:space="preserve">lead </w:t>
      </w:r>
      <w:r w:rsidRPr="00727AB8">
        <w:rPr>
          <w:lang w:val="en-GB"/>
        </w:rPr>
        <w:t xml:space="preserve">to business continuity and profitability. The variables that influence supply chain risk include environmental variables, industry variables, organizational strategy variables, problem-specific variables, and </w:t>
      </w:r>
      <w:r w:rsidR="00D407EB" w:rsidRPr="00727AB8">
        <w:rPr>
          <w:lang w:val="en-GB"/>
        </w:rPr>
        <w:t>decision-maker-related</w:t>
      </w:r>
      <w:r w:rsidRPr="00727AB8">
        <w:rPr>
          <w:lang w:val="en-GB"/>
        </w:rPr>
        <w:t xml:space="preserve"> variables (Ritchie &amp; Brindley, 2007). Recent research has shown that investments in the right set of technologies, </w:t>
      </w:r>
      <w:r w:rsidR="00E92ECB" w:rsidRPr="00727AB8">
        <w:rPr>
          <w:lang w:val="en-GB"/>
        </w:rPr>
        <w:t xml:space="preserve">and </w:t>
      </w:r>
      <w:r w:rsidRPr="00727AB8">
        <w:rPr>
          <w:lang w:val="en-GB"/>
        </w:rPr>
        <w:t xml:space="preserve">robust information sharing between supply chain partners ultimately lead to resilient supply chains that can withstand disruptive events </w:t>
      </w:r>
      <w:r w:rsidRPr="00727AB8">
        <w:rPr>
          <w:lang w:val="en-IN"/>
        </w:rPr>
        <w:t>(Katsaliaki</w:t>
      </w:r>
      <w:r w:rsidR="00970AB0" w:rsidRPr="00727AB8">
        <w:rPr>
          <w:lang w:val="en-IN"/>
        </w:rPr>
        <w:t>,</w:t>
      </w:r>
      <w:r w:rsidRPr="00727AB8">
        <w:rPr>
          <w:lang w:val="en-IN"/>
        </w:rPr>
        <w:t xml:space="preserve"> </w:t>
      </w:r>
      <w:r w:rsidR="00970AB0" w:rsidRPr="00727AB8">
        <w:rPr>
          <w:lang w:val="en-IN"/>
        </w:rPr>
        <w:t xml:space="preserve">Galetsi, &amp; Kumar, </w:t>
      </w:r>
      <w:r w:rsidRPr="00727AB8">
        <w:rPr>
          <w:lang w:val="en-IN"/>
        </w:rPr>
        <w:t>2021)</w:t>
      </w:r>
      <w:r w:rsidRPr="00727AB8">
        <w:rPr>
          <w:lang w:val="en-GB"/>
        </w:rPr>
        <w:t>.</w:t>
      </w:r>
    </w:p>
    <w:p w14:paraId="76E2B654" w14:textId="7DEF207F" w:rsidR="00A8668D" w:rsidRPr="00727AB8" w:rsidRDefault="00B924A2" w:rsidP="00727AB8">
      <w:pPr>
        <w:pStyle w:val="BodyText"/>
        <w:spacing w:line="252" w:lineRule="auto"/>
        <w:rPr>
          <w:rFonts w:eastAsia="Arial"/>
          <w:spacing w:val="2"/>
        </w:rPr>
      </w:pPr>
      <w:r w:rsidRPr="00727AB8">
        <w:rPr>
          <w:lang w:val="en-GB"/>
        </w:rPr>
        <w:t>While applications of AI in SCRM have been studied in detail, there is a gap related to the study of factors that influence the adoption of AI in SCRM a</w:t>
      </w:r>
      <w:r w:rsidR="00970AB0" w:rsidRPr="00727AB8">
        <w:rPr>
          <w:lang w:val="en-GB"/>
        </w:rPr>
        <w:t xml:space="preserve">t an organizational level. Paul, Riaz, and Das </w:t>
      </w:r>
      <w:r w:rsidRPr="00727AB8">
        <w:rPr>
          <w:lang w:val="en-GB"/>
        </w:rPr>
        <w:t xml:space="preserve">(2020) have proposed a conceptual model </w:t>
      </w:r>
      <w:r w:rsidR="00E92ECB" w:rsidRPr="00727AB8">
        <w:rPr>
          <w:lang w:val="en-GB"/>
        </w:rPr>
        <w:t xml:space="preserve">for </w:t>
      </w:r>
      <w:r w:rsidRPr="00727AB8">
        <w:rPr>
          <w:lang w:val="en-GB"/>
        </w:rPr>
        <w:t>the adoption of AI in SCRM based on the TOE framework and introduced new factors based on a qualitative study in India, the study does not provide a measurement instrument. Moreover, while past research has covered adoption studies on technologies like predictive analytics, big data analytics, and other similar technologies (</w:t>
      </w:r>
      <w:r w:rsidR="005F527F" w:rsidRPr="00727AB8">
        <w:rPr>
          <w:lang w:val="en-GB"/>
        </w:rPr>
        <w:t>Banerjee &amp; Banerjee, 2017</w:t>
      </w:r>
      <w:r w:rsidRPr="00727AB8">
        <w:rPr>
          <w:lang w:val="en-GB"/>
        </w:rPr>
        <w:t>; Chen</w:t>
      </w:r>
      <w:r w:rsidR="005F527F" w:rsidRPr="00727AB8">
        <w:rPr>
          <w:lang w:val="en-GB"/>
        </w:rPr>
        <w:t>,</w:t>
      </w:r>
      <w:r w:rsidRPr="00727AB8">
        <w:rPr>
          <w:lang w:val="en-GB"/>
        </w:rPr>
        <w:t xml:space="preserve"> </w:t>
      </w:r>
      <w:r w:rsidR="005F527F" w:rsidRPr="00727AB8">
        <w:rPr>
          <w:lang w:val="en-GB"/>
        </w:rPr>
        <w:t xml:space="preserve">Preston, &amp; Swink, </w:t>
      </w:r>
      <w:r w:rsidRPr="00727AB8">
        <w:rPr>
          <w:lang w:val="en-GB"/>
        </w:rPr>
        <w:t>2015</w:t>
      </w:r>
      <w:r w:rsidR="005F527F" w:rsidRPr="00727AB8">
        <w:rPr>
          <w:lang w:val="en-GB"/>
        </w:rPr>
        <w:t>; Malladi, 2013</w:t>
      </w:r>
      <w:r w:rsidRPr="00727AB8">
        <w:rPr>
          <w:lang w:val="en-GB"/>
        </w:rPr>
        <w:t>), that provide a measurement instrument, there is no relevant study on the adoption of AI in the context of SCRM that has provided an empirically tested measurement instrument. Hence, the objective of this study is to develop a measurement instrument and empirically test the scale for measuring factors that influence the adoption of AI in SCRM</w:t>
      </w:r>
      <w:r w:rsidR="00D6458A" w:rsidRPr="00727AB8">
        <w:t>.</w:t>
      </w:r>
    </w:p>
    <w:p w14:paraId="419E0E06" w14:textId="16F529E9" w:rsidR="00A25A0D" w:rsidRPr="00727AB8" w:rsidRDefault="00065535" w:rsidP="00727AB8">
      <w:pPr>
        <w:pStyle w:val="Heading1"/>
        <w:spacing w:line="252" w:lineRule="auto"/>
        <w:ind w:left="0" w:firstLine="720"/>
      </w:pPr>
      <w:r w:rsidRPr="00727AB8">
        <w:t xml:space="preserve">2. </w:t>
      </w:r>
      <w:r w:rsidR="00B924A2" w:rsidRPr="00727AB8">
        <w:t>Theoretical basis</w:t>
      </w:r>
    </w:p>
    <w:p w14:paraId="1E2A7D9B" w14:textId="2C5E4383" w:rsidR="00D6458A" w:rsidRPr="00727AB8" w:rsidRDefault="00D6458A" w:rsidP="00727AB8">
      <w:pPr>
        <w:pStyle w:val="Heading2"/>
        <w:spacing w:line="252" w:lineRule="auto"/>
        <w:rPr>
          <w:rFonts w:ascii="Times New Roman" w:hAnsi="Times New Roman"/>
        </w:rPr>
      </w:pPr>
      <w:r w:rsidRPr="00727AB8">
        <w:rPr>
          <w:rFonts w:ascii="Times New Roman" w:hAnsi="Times New Roman"/>
        </w:rPr>
        <w:t xml:space="preserve">2.1. </w:t>
      </w:r>
      <w:r w:rsidR="00B924A2" w:rsidRPr="00727AB8">
        <w:rPr>
          <w:rFonts w:ascii="Times New Roman" w:hAnsi="Times New Roman"/>
        </w:rPr>
        <w:t>Scale development and validation</w:t>
      </w:r>
    </w:p>
    <w:p w14:paraId="5F21726E" w14:textId="40009F71" w:rsidR="00D6458A" w:rsidRPr="00727AB8" w:rsidRDefault="00B924A2" w:rsidP="00727AB8">
      <w:pPr>
        <w:spacing w:before="120" w:line="252" w:lineRule="auto"/>
        <w:ind w:firstLine="720"/>
        <w:jc w:val="both"/>
        <w:rPr>
          <w:sz w:val="24"/>
          <w:szCs w:val="24"/>
        </w:rPr>
      </w:pPr>
      <w:r w:rsidRPr="00727AB8">
        <w:rPr>
          <w:sz w:val="24"/>
          <w:szCs w:val="24"/>
        </w:rPr>
        <w:t xml:space="preserve">Scale development and validation processes have been defined in past research. Guidelines as provided by Churchill (1979) and Hensley (1999) for scale development and validation have been </w:t>
      </w:r>
      <w:r w:rsidR="00B74B61" w:rsidRPr="00727AB8">
        <w:rPr>
          <w:sz w:val="24"/>
          <w:szCs w:val="24"/>
        </w:rPr>
        <w:t xml:space="preserve">widely </w:t>
      </w:r>
      <w:r w:rsidRPr="00727AB8">
        <w:rPr>
          <w:sz w:val="24"/>
          <w:szCs w:val="24"/>
        </w:rPr>
        <w:t>used in past research. Morgan</w:t>
      </w:r>
      <w:r w:rsidR="005F527F" w:rsidRPr="00727AB8">
        <w:rPr>
          <w:sz w:val="24"/>
          <w:szCs w:val="24"/>
        </w:rPr>
        <w:t>,</w:t>
      </w:r>
      <w:r w:rsidRPr="00727AB8">
        <w:rPr>
          <w:sz w:val="24"/>
          <w:szCs w:val="24"/>
        </w:rPr>
        <w:t xml:space="preserve"> </w:t>
      </w:r>
      <w:r w:rsidR="005F527F" w:rsidRPr="00727AB8">
        <w:rPr>
          <w:sz w:val="24"/>
          <w:szCs w:val="24"/>
          <w:lang w:val="en-GB"/>
        </w:rPr>
        <w:t>Robert, and Alexander</w:t>
      </w:r>
      <w:r w:rsidRPr="00727AB8">
        <w:rPr>
          <w:sz w:val="24"/>
          <w:szCs w:val="24"/>
        </w:rPr>
        <w:t xml:space="preserve"> (2018) used a three-stage process, with stage one covering item generation based on </w:t>
      </w:r>
      <w:r w:rsidR="0056390A" w:rsidRPr="00727AB8">
        <w:rPr>
          <w:sz w:val="24"/>
          <w:szCs w:val="24"/>
        </w:rPr>
        <w:t xml:space="preserve">a </w:t>
      </w:r>
      <w:r w:rsidRPr="00727AB8">
        <w:rPr>
          <w:sz w:val="24"/>
          <w:szCs w:val="24"/>
        </w:rPr>
        <w:t xml:space="preserve">literature survey and feedback by </w:t>
      </w:r>
      <w:r w:rsidR="00B56342" w:rsidRPr="00727AB8">
        <w:rPr>
          <w:sz w:val="24"/>
          <w:szCs w:val="24"/>
        </w:rPr>
        <w:t xml:space="preserve">Subject Matter Experts </w:t>
      </w:r>
      <w:r w:rsidRPr="00727AB8">
        <w:rPr>
          <w:sz w:val="24"/>
          <w:szCs w:val="24"/>
        </w:rPr>
        <w:t xml:space="preserve">(SMEs). Stage two covered conducting a survey of a sample of supply chain professionals with the data being divided into two halves, and the first half assessed using principal component analysis while the second half was used to reproduce the factor analysis process followed by a </w:t>
      </w:r>
      <w:r w:rsidR="00B56342" w:rsidRPr="00727AB8">
        <w:rPr>
          <w:sz w:val="24"/>
          <w:szCs w:val="24"/>
          <w:lang w:val="en-IN"/>
        </w:rPr>
        <w:t>Confirmatory Factor Analysis (</w:t>
      </w:r>
      <w:r w:rsidRPr="00727AB8">
        <w:rPr>
          <w:sz w:val="24"/>
          <w:szCs w:val="24"/>
        </w:rPr>
        <w:t>CFA</w:t>
      </w:r>
      <w:r w:rsidR="00B56342" w:rsidRPr="00727AB8">
        <w:rPr>
          <w:sz w:val="24"/>
          <w:szCs w:val="24"/>
        </w:rPr>
        <w:t>)</w:t>
      </w:r>
      <w:r w:rsidRPr="00727AB8">
        <w:rPr>
          <w:sz w:val="24"/>
          <w:szCs w:val="24"/>
        </w:rPr>
        <w:t xml:space="preserve"> on the combined sample. Stage three </w:t>
      </w:r>
      <w:r w:rsidRPr="00727AB8">
        <w:rPr>
          <w:sz w:val="24"/>
          <w:szCs w:val="24"/>
        </w:rPr>
        <w:lastRenderedPageBreak/>
        <w:t>involved conducting another survey using the scale to further assess reliability and validity. Furthermore, Punniyamoorthy</w:t>
      </w:r>
      <w:r w:rsidR="00B56342" w:rsidRPr="00727AB8">
        <w:rPr>
          <w:sz w:val="24"/>
          <w:szCs w:val="24"/>
        </w:rPr>
        <w:t>,</w:t>
      </w:r>
      <w:r w:rsidRPr="00727AB8">
        <w:rPr>
          <w:sz w:val="24"/>
          <w:szCs w:val="24"/>
        </w:rPr>
        <w:t xml:space="preserve"> </w:t>
      </w:r>
      <w:r w:rsidR="00B56342" w:rsidRPr="00727AB8">
        <w:rPr>
          <w:sz w:val="24"/>
          <w:szCs w:val="24"/>
          <w:lang w:val="en-GB"/>
        </w:rPr>
        <w:t>Thamaraiselvan, and Manikandan</w:t>
      </w:r>
      <w:r w:rsidR="00B56342" w:rsidRPr="00727AB8">
        <w:rPr>
          <w:sz w:val="24"/>
          <w:szCs w:val="24"/>
        </w:rPr>
        <w:t xml:space="preserve"> </w:t>
      </w:r>
      <w:r w:rsidRPr="00727AB8">
        <w:rPr>
          <w:sz w:val="24"/>
          <w:szCs w:val="24"/>
        </w:rPr>
        <w:t xml:space="preserve">(2013) detailed a process for scale development and validation involving generating an initial list of items based on </w:t>
      </w:r>
      <w:r w:rsidR="0056390A" w:rsidRPr="00727AB8">
        <w:rPr>
          <w:sz w:val="24"/>
          <w:szCs w:val="24"/>
        </w:rPr>
        <w:t xml:space="preserve">a </w:t>
      </w:r>
      <w:r w:rsidRPr="00727AB8">
        <w:rPr>
          <w:sz w:val="24"/>
          <w:szCs w:val="24"/>
        </w:rPr>
        <w:t>literature survey, review by an expert group and updates, assessment of content validity, preparation of draft questionnaire and pilot study, data collection using survey, and assessment of reliability and validity of the instrument.</w:t>
      </w:r>
      <w:r w:rsidR="00D6458A" w:rsidRPr="00727AB8">
        <w:rPr>
          <w:sz w:val="24"/>
          <w:szCs w:val="24"/>
        </w:rPr>
        <w:t xml:space="preserve">  </w:t>
      </w:r>
    </w:p>
    <w:p w14:paraId="212FDEF9" w14:textId="3B60FF47" w:rsidR="00D6458A" w:rsidRPr="00727AB8" w:rsidRDefault="00D6458A" w:rsidP="00727AB8">
      <w:pPr>
        <w:pStyle w:val="Heading2"/>
        <w:spacing w:line="252" w:lineRule="auto"/>
        <w:rPr>
          <w:rFonts w:ascii="Times New Roman" w:hAnsi="Times New Roman"/>
        </w:rPr>
      </w:pPr>
      <w:r w:rsidRPr="00727AB8">
        <w:rPr>
          <w:rFonts w:ascii="Times New Roman" w:hAnsi="Times New Roman"/>
        </w:rPr>
        <w:t xml:space="preserve">2.2. </w:t>
      </w:r>
      <w:r w:rsidR="00B924A2" w:rsidRPr="00727AB8">
        <w:rPr>
          <w:rFonts w:ascii="Times New Roman" w:hAnsi="Times New Roman"/>
        </w:rPr>
        <w:t>Technology adoption</w:t>
      </w:r>
    </w:p>
    <w:p w14:paraId="4B5DFA99" w14:textId="014E5F90" w:rsidR="00B924A2" w:rsidRPr="00727AB8" w:rsidRDefault="00B924A2" w:rsidP="00727AB8">
      <w:pPr>
        <w:spacing w:before="120" w:line="252" w:lineRule="auto"/>
        <w:ind w:firstLine="720"/>
        <w:jc w:val="both"/>
        <w:rPr>
          <w:sz w:val="24"/>
          <w:szCs w:val="24"/>
          <w:lang w:val="en-GB"/>
        </w:rPr>
      </w:pPr>
      <w:r w:rsidRPr="00727AB8">
        <w:rPr>
          <w:sz w:val="24"/>
          <w:szCs w:val="24"/>
          <w:lang w:val="en-GB"/>
        </w:rPr>
        <w:t>There are several theories of the adoption of technology at an individual level, the ones that apply at an organizational level include the diffusion of innovation theory (DOI) (Rogers, 1995) and the Technology</w:t>
      </w:r>
      <w:r w:rsidR="00B56342" w:rsidRPr="00727AB8">
        <w:rPr>
          <w:sz w:val="24"/>
          <w:szCs w:val="24"/>
          <w:lang w:val="en-GB"/>
        </w:rPr>
        <w:t>-</w:t>
      </w:r>
      <w:r w:rsidRPr="00727AB8">
        <w:rPr>
          <w:sz w:val="24"/>
          <w:szCs w:val="24"/>
          <w:lang w:val="en-GB"/>
        </w:rPr>
        <w:t>Organization</w:t>
      </w:r>
      <w:r w:rsidR="00B56342" w:rsidRPr="00727AB8">
        <w:rPr>
          <w:sz w:val="24"/>
          <w:szCs w:val="24"/>
          <w:lang w:val="en-GB"/>
        </w:rPr>
        <w:t>-</w:t>
      </w:r>
      <w:r w:rsidRPr="00727AB8">
        <w:rPr>
          <w:sz w:val="24"/>
          <w:szCs w:val="24"/>
          <w:lang w:val="en-GB"/>
        </w:rPr>
        <w:t xml:space="preserve">Environment (TOE) framework (Tornatzky </w:t>
      </w:r>
      <w:r w:rsidR="00BC28E6" w:rsidRPr="00727AB8">
        <w:rPr>
          <w:sz w:val="24"/>
          <w:szCs w:val="24"/>
          <w:lang w:val="en-GB"/>
        </w:rPr>
        <w:t>&amp;</w:t>
      </w:r>
      <w:r w:rsidRPr="00727AB8">
        <w:rPr>
          <w:sz w:val="24"/>
          <w:szCs w:val="24"/>
          <w:lang w:val="en-GB"/>
        </w:rPr>
        <w:t xml:space="preserve"> Fleischer, 1990). The DOI theory at an organizational level argues that the adoption of innovation is influenced by perceived attributes of innovation, namely, relative advantage, compatibility, complexity, trialability, and observability (Rogers, 1995). Over the years, DOI has been applied to multiple technology adoption studies, including enterprise resource planning, e-business, websites, intranet, and various software applications (Molinillo </w:t>
      </w:r>
      <w:r w:rsidR="00BC28E6" w:rsidRPr="00727AB8">
        <w:rPr>
          <w:sz w:val="24"/>
          <w:szCs w:val="24"/>
          <w:lang w:val="en-GB"/>
        </w:rPr>
        <w:t>&amp;</w:t>
      </w:r>
      <w:r w:rsidRPr="00727AB8">
        <w:rPr>
          <w:sz w:val="24"/>
          <w:szCs w:val="24"/>
          <w:lang w:val="en-GB"/>
        </w:rPr>
        <w:t xml:space="preserve"> Japutra, 2017).</w:t>
      </w:r>
    </w:p>
    <w:p w14:paraId="57ED76F4" w14:textId="59BE972E" w:rsidR="00D6458A" w:rsidRPr="00727AB8" w:rsidRDefault="00B924A2" w:rsidP="00727AB8">
      <w:pPr>
        <w:spacing w:before="120" w:line="252" w:lineRule="auto"/>
        <w:ind w:firstLine="720"/>
        <w:jc w:val="both"/>
        <w:rPr>
          <w:sz w:val="24"/>
          <w:szCs w:val="24"/>
          <w:lang w:val="en-GB"/>
        </w:rPr>
      </w:pPr>
      <w:r w:rsidRPr="00727AB8">
        <w:rPr>
          <w:sz w:val="24"/>
          <w:szCs w:val="24"/>
          <w:lang w:val="en-GB"/>
        </w:rPr>
        <w:t xml:space="preserve">The TOE framework has three independent contexts or logical grouping of constructs that influence how an organization adopts new technologies, namely, technological, organizational, and environmental contexts. The TOE framework has been cited extensively with </w:t>
      </w:r>
      <w:r w:rsidR="00D928FB" w:rsidRPr="00727AB8">
        <w:rPr>
          <w:sz w:val="24"/>
          <w:szCs w:val="24"/>
          <w:lang w:val="en-GB"/>
        </w:rPr>
        <w:t xml:space="preserve">regard </w:t>
      </w:r>
      <w:r w:rsidRPr="00727AB8">
        <w:rPr>
          <w:sz w:val="24"/>
          <w:szCs w:val="24"/>
          <w:lang w:val="en-GB"/>
        </w:rPr>
        <w:t>to the adoption of various technological areas: business intelligence, enterprise resource planning, electronic data exchange, websites, e-commerce, big data, e-business, knowledge management systems, service-oriented architecture, and other technological areas (Awa</w:t>
      </w:r>
      <w:r w:rsidR="00BC28E6" w:rsidRPr="00727AB8">
        <w:rPr>
          <w:sz w:val="24"/>
          <w:szCs w:val="24"/>
          <w:lang w:val="en-GB"/>
        </w:rPr>
        <w:t>,</w:t>
      </w:r>
      <w:r w:rsidRPr="00727AB8">
        <w:rPr>
          <w:sz w:val="24"/>
          <w:szCs w:val="24"/>
          <w:lang w:val="en-GB"/>
        </w:rPr>
        <w:t xml:space="preserve"> </w:t>
      </w:r>
      <w:r w:rsidR="00BC28E6" w:rsidRPr="00727AB8">
        <w:rPr>
          <w:sz w:val="24"/>
          <w:szCs w:val="24"/>
          <w:lang w:val="en-GB"/>
        </w:rPr>
        <w:t>Ojiabo, &amp; Orokor,</w:t>
      </w:r>
      <w:r w:rsidRPr="00727AB8">
        <w:rPr>
          <w:sz w:val="24"/>
          <w:szCs w:val="24"/>
          <w:lang w:val="en-GB"/>
        </w:rPr>
        <w:t xml:space="preserve"> 2017). There have also been multiple research studies on the adoption of technologies that may be confused with AI or at times are part of AI, depending on the definitions of AI different researchers have used, like big data analytics (Chen et al., 201</w:t>
      </w:r>
      <w:r w:rsidR="007331FC" w:rsidRPr="00727AB8">
        <w:rPr>
          <w:sz w:val="24"/>
          <w:szCs w:val="24"/>
          <w:lang w:val="en-GB"/>
        </w:rPr>
        <w:t>5</w:t>
      </w:r>
      <w:r w:rsidRPr="00727AB8">
        <w:rPr>
          <w:sz w:val="24"/>
          <w:szCs w:val="24"/>
          <w:lang w:val="en-GB"/>
        </w:rPr>
        <w:t xml:space="preserve">) and predictive analytics (Banerjee </w:t>
      </w:r>
      <w:r w:rsidR="003E0D41" w:rsidRPr="00727AB8">
        <w:rPr>
          <w:sz w:val="24"/>
          <w:szCs w:val="24"/>
          <w:lang w:val="en-GB"/>
        </w:rPr>
        <w:t>&amp;</w:t>
      </w:r>
      <w:r w:rsidRPr="00727AB8">
        <w:rPr>
          <w:sz w:val="24"/>
          <w:szCs w:val="24"/>
          <w:lang w:val="en-GB"/>
        </w:rPr>
        <w:t xml:space="preserve"> Banerjee, 2017). There is a need to review the literature for technology adoption theories and study their applicability for the adoption of AI techniques like deep learning in the context of SCRM. While there exists strong evidence of the applicability of both DOI and TOE frameworks to technology adoption, not all factors or the underlying indicators cited as part of these theories can be used in their current condition to study AI adoption in SCRM. AI adoption in SCRM is unique and requires consideration of new factors as part of the three contexts for the TOE framework: technological, organizational, and environmental contexts.</w:t>
      </w:r>
    </w:p>
    <w:p w14:paraId="0C15A306" w14:textId="0CC6A392" w:rsidR="00B924A2" w:rsidRPr="00727AB8" w:rsidRDefault="00B924A2" w:rsidP="00727AB8">
      <w:pPr>
        <w:pStyle w:val="Heading1"/>
        <w:spacing w:line="252" w:lineRule="auto"/>
        <w:ind w:left="0" w:firstLine="720"/>
      </w:pPr>
      <w:r w:rsidRPr="00727AB8">
        <w:rPr>
          <w:lang w:val="vi-VN"/>
        </w:rPr>
        <w:t xml:space="preserve">3. </w:t>
      </w:r>
      <w:r w:rsidRPr="00727AB8">
        <w:t>Research method</w:t>
      </w:r>
    </w:p>
    <w:p w14:paraId="47BCEE0D" w14:textId="180478D4" w:rsidR="00B924A2" w:rsidRPr="00727AB8" w:rsidRDefault="00B924A2" w:rsidP="00727AB8">
      <w:pPr>
        <w:spacing w:before="120" w:line="252" w:lineRule="auto"/>
        <w:ind w:firstLine="720"/>
        <w:jc w:val="both"/>
        <w:rPr>
          <w:sz w:val="24"/>
          <w:szCs w:val="24"/>
        </w:rPr>
      </w:pPr>
      <w:r w:rsidRPr="00727AB8">
        <w:rPr>
          <w:sz w:val="24"/>
          <w:szCs w:val="24"/>
        </w:rPr>
        <w:t>The objective of this study is to develop and test a measurement instrument to study the adoption of AI in SCRM. The development of the scale has been done in stages covering factor identification, item generation, pre-testing, pilot testing, and scale validation (</w:t>
      </w:r>
      <w:r w:rsidR="003E0D41" w:rsidRPr="00727AB8">
        <w:rPr>
          <w:sz w:val="24"/>
          <w:szCs w:val="24"/>
        </w:rPr>
        <w:t xml:space="preserve">Punniyamoorthy et al., 2013; </w:t>
      </w:r>
      <w:r w:rsidRPr="00727AB8">
        <w:rPr>
          <w:sz w:val="24"/>
          <w:szCs w:val="24"/>
        </w:rPr>
        <w:t>Shahbaz</w:t>
      </w:r>
      <w:r w:rsidR="003E0D41" w:rsidRPr="00727AB8">
        <w:rPr>
          <w:sz w:val="24"/>
          <w:szCs w:val="24"/>
        </w:rPr>
        <w:t>,</w:t>
      </w:r>
      <w:r w:rsidRPr="00727AB8">
        <w:rPr>
          <w:sz w:val="24"/>
          <w:szCs w:val="24"/>
        </w:rPr>
        <w:t xml:space="preserve"> </w:t>
      </w:r>
      <w:r w:rsidR="003E0D41" w:rsidRPr="00727AB8">
        <w:rPr>
          <w:sz w:val="24"/>
          <w:szCs w:val="24"/>
          <w:lang w:val="en-IN"/>
        </w:rPr>
        <w:t>RM Rasi, &amp; Ahmad,</w:t>
      </w:r>
      <w:r w:rsidR="003E0D41" w:rsidRPr="00727AB8">
        <w:rPr>
          <w:sz w:val="24"/>
          <w:szCs w:val="24"/>
        </w:rPr>
        <w:t xml:space="preserve"> </w:t>
      </w:r>
      <w:r w:rsidRPr="00727AB8">
        <w:rPr>
          <w:sz w:val="24"/>
          <w:szCs w:val="24"/>
        </w:rPr>
        <w:t xml:space="preserve">2019) as shown in </w:t>
      </w:r>
      <w:r w:rsidR="003E0D41" w:rsidRPr="00727AB8">
        <w:rPr>
          <w:sz w:val="24"/>
          <w:szCs w:val="24"/>
        </w:rPr>
        <w:t>Figure</w:t>
      </w:r>
      <w:r w:rsidRPr="00727AB8">
        <w:rPr>
          <w:sz w:val="24"/>
          <w:szCs w:val="24"/>
        </w:rPr>
        <w:t xml:space="preserve"> 1.</w:t>
      </w:r>
    </w:p>
    <w:p w14:paraId="5A7F10FF" w14:textId="466A0C57" w:rsidR="002C4294" w:rsidRPr="00727AB8" w:rsidRDefault="00B924A2" w:rsidP="002A352C">
      <w:pPr>
        <w:ind w:firstLine="720"/>
        <w:jc w:val="both"/>
        <w:rPr>
          <w:sz w:val="24"/>
          <w:szCs w:val="24"/>
        </w:rPr>
      </w:pPr>
      <w:r w:rsidRPr="00727AB8">
        <w:rPr>
          <w:noProof/>
        </w:rPr>
        <w:lastRenderedPageBreak/>
        <w:drawing>
          <wp:inline distT="0" distB="0" distL="0" distR="0" wp14:anchorId="0D81264B" wp14:editId="3449B04E">
            <wp:extent cx="5273040" cy="440663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622" cy="4407952"/>
                    </a:xfrm>
                    <a:prstGeom prst="rect">
                      <a:avLst/>
                    </a:prstGeom>
                  </pic:spPr>
                </pic:pic>
              </a:graphicData>
            </a:graphic>
          </wp:inline>
        </w:drawing>
      </w:r>
    </w:p>
    <w:p w14:paraId="031F00BC" w14:textId="5EBE7752" w:rsidR="002C4294" w:rsidRPr="00727AB8" w:rsidRDefault="002C4294" w:rsidP="002A352C">
      <w:pPr>
        <w:jc w:val="center"/>
        <w:rPr>
          <w:sz w:val="24"/>
          <w:szCs w:val="24"/>
        </w:rPr>
      </w:pPr>
      <w:r w:rsidRPr="00727AB8">
        <w:rPr>
          <w:b/>
          <w:sz w:val="24"/>
          <w:szCs w:val="24"/>
        </w:rPr>
        <w:t>Figure 1.</w:t>
      </w:r>
      <w:r w:rsidRPr="00727AB8">
        <w:rPr>
          <w:sz w:val="24"/>
          <w:szCs w:val="24"/>
        </w:rPr>
        <w:t xml:space="preserve"> </w:t>
      </w:r>
      <w:r w:rsidR="00B924A2" w:rsidRPr="00727AB8">
        <w:rPr>
          <w:sz w:val="24"/>
          <w:szCs w:val="24"/>
        </w:rPr>
        <w:t>Research method</w:t>
      </w:r>
    </w:p>
    <w:p w14:paraId="57D584E3" w14:textId="0A31E7E2" w:rsidR="00B924A2" w:rsidRPr="00727AB8" w:rsidRDefault="00B924A2" w:rsidP="002A352C">
      <w:pPr>
        <w:pStyle w:val="Heading2"/>
        <w:spacing w:line="252" w:lineRule="auto"/>
        <w:rPr>
          <w:rFonts w:ascii="Times New Roman" w:hAnsi="Times New Roman"/>
        </w:rPr>
      </w:pPr>
      <w:r w:rsidRPr="00727AB8">
        <w:rPr>
          <w:rFonts w:ascii="Times New Roman" w:hAnsi="Times New Roman"/>
        </w:rPr>
        <w:t>3.1. Identification of constructs</w:t>
      </w:r>
    </w:p>
    <w:p w14:paraId="06B87A2A" w14:textId="2589893C" w:rsidR="00B924A2" w:rsidRPr="00727AB8" w:rsidRDefault="00B924A2" w:rsidP="002A352C">
      <w:pPr>
        <w:pStyle w:val="BodyText"/>
        <w:spacing w:line="252" w:lineRule="auto"/>
        <w:rPr>
          <w:lang w:val="en-GB"/>
        </w:rPr>
      </w:pPr>
      <w:r w:rsidRPr="00727AB8">
        <w:rPr>
          <w:lang w:val="en-GB"/>
        </w:rPr>
        <w:t>Identification of the constructs or factors has been done based on a literature review. As discussed above, in the TOE framework three independent contexts have been considered. Given the uniqueness of AI adoption in SCRM, new factors have been proposed and a total of eight independent factors determined. While the contexts are based on the TOE framework, many of the factors are different when compared to past literature on technology adoption, and they are unique to the needs of AI adoption in SCRM for industries in India. Considering past research on AI adoption in SCRM (Paul et al., 2020) and taking into consideration feedback from SMEs, the following factors have been determined for each of the three contexts.</w:t>
      </w:r>
    </w:p>
    <w:p w14:paraId="6E335706" w14:textId="48CA3FD6" w:rsidR="00B924A2" w:rsidRPr="00727AB8" w:rsidRDefault="00B924A2" w:rsidP="002A352C">
      <w:pPr>
        <w:pStyle w:val="Heading3"/>
        <w:keepNext w:val="0"/>
        <w:keepLines w:val="0"/>
        <w:spacing w:line="252" w:lineRule="auto"/>
        <w:rPr>
          <w:rFonts w:cs="Times New Roman"/>
        </w:rPr>
      </w:pPr>
      <w:bookmarkStart w:id="1" w:name="_Toc56950099"/>
      <w:r w:rsidRPr="00727AB8">
        <w:rPr>
          <w:rFonts w:cs="Times New Roman"/>
        </w:rPr>
        <w:t>3.1.1. Technological context</w:t>
      </w:r>
      <w:bookmarkEnd w:id="1"/>
    </w:p>
    <w:p w14:paraId="5783EB97" w14:textId="18E72998" w:rsidR="00EB7810" w:rsidRPr="00727AB8" w:rsidRDefault="00B924A2" w:rsidP="002A352C">
      <w:pPr>
        <w:pStyle w:val="BodyText"/>
        <w:spacing w:line="252" w:lineRule="auto"/>
        <w:rPr>
          <w:lang w:val="en-GB"/>
        </w:rPr>
      </w:pPr>
      <w:r w:rsidRPr="00727AB8">
        <w:rPr>
          <w:lang w:val="en-GB"/>
        </w:rPr>
        <w:t xml:space="preserve">For the technological context, the authors propose three factors as defined in Table 1. Organizations that manage large and diverse datasets, such as high-volume, high-velocity, and high-variety (Chen et al., 2015), or have undertaken digital transformation projects (Brock </w:t>
      </w:r>
      <w:r w:rsidR="00234EFA" w:rsidRPr="00727AB8">
        <w:rPr>
          <w:lang w:val="en-GB"/>
        </w:rPr>
        <w:t>&amp;</w:t>
      </w:r>
      <w:r w:rsidRPr="00727AB8">
        <w:rPr>
          <w:lang w:val="en-GB"/>
        </w:rPr>
        <w:t xml:space="preserve"> Wangenheim, 2019) are in a better position to initiate AI projects as the availability of these diverse datasets is an essential ingredient for AI. Also, as pointed out by the industry SMEs, having data management capabilities is an essential starting point for any AI project. Hence, the factor of big data management has been added as a new factor. Relative advantage has been cited frequently in past technology adoption studies (</w:t>
      </w:r>
      <w:r w:rsidR="00234EFA" w:rsidRPr="00727AB8">
        <w:rPr>
          <w:lang w:val="en-GB"/>
        </w:rPr>
        <w:t xml:space="preserve">Chandra &amp; Kumar, 2018; </w:t>
      </w:r>
      <w:r w:rsidRPr="00727AB8">
        <w:rPr>
          <w:lang w:val="en-GB"/>
        </w:rPr>
        <w:t>Puklavec</w:t>
      </w:r>
      <w:r w:rsidR="00234EFA" w:rsidRPr="00727AB8">
        <w:rPr>
          <w:lang w:val="en-GB"/>
        </w:rPr>
        <w:t>,</w:t>
      </w:r>
      <w:r w:rsidRPr="00727AB8">
        <w:rPr>
          <w:lang w:val="en-GB"/>
        </w:rPr>
        <w:t xml:space="preserve"> </w:t>
      </w:r>
      <w:r w:rsidR="00234EFA" w:rsidRPr="00727AB8">
        <w:rPr>
          <w:lang w:val="en-GB"/>
        </w:rPr>
        <w:t xml:space="preserve">Oliveira, &amp; Popovič, </w:t>
      </w:r>
      <w:r w:rsidRPr="00727AB8">
        <w:rPr>
          <w:lang w:val="en-GB"/>
        </w:rPr>
        <w:t xml:space="preserve">2018) across adoption studies. The perceived cost of ownership (Chan </w:t>
      </w:r>
      <w:r w:rsidR="00234EFA" w:rsidRPr="00727AB8">
        <w:rPr>
          <w:lang w:val="en-GB"/>
        </w:rPr>
        <w:t>&amp;</w:t>
      </w:r>
      <w:r w:rsidRPr="00727AB8">
        <w:rPr>
          <w:lang w:val="en-GB"/>
        </w:rPr>
        <w:t xml:space="preserve"> Chong, 2013; Hossain</w:t>
      </w:r>
      <w:r w:rsidR="00234EFA" w:rsidRPr="00727AB8">
        <w:rPr>
          <w:lang w:val="en-GB"/>
        </w:rPr>
        <w:t>,</w:t>
      </w:r>
      <w:r w:rsidRPr="00727AB8">
        <w:rPr>
          <w:lang w:val="en-GB"/>
        </w:rPr>
        <w:t xml:space="preserve"> </w:t>
      </w:r>
      <w:r w:rsidR="00234EFA" w:rsidRPr="00727AB8">
        <w:rPr>
          <w:lang w:val="en-GB"/>
        </w:rPr>
        <w:t xml:space="preserve">Quaddus, &amp; Islam, </w:t>
      </w:r>
      <w:r w:rsidRPr="00727AB8">
        <w:rPr>
          <w:lang w:val="en-GB"/>
        </w:rPr>
        <w:t>2016) has been shown in past research to be negatively related to technology adoption and hence considered for the study.</w:t>
      </w:r>
    </w:p>
    <w:p w14:paraId="4692F472" w14:textId="77777777" w:rsidR="00B924A2" w:rsidRPr="00727AB8" w:rsidRDefault="00B924A2" w:rsidP="002A352C">
      <w:pPr>
        <w:pStyle w:val="BodyText"/>
        <w:ind w:firstLine="0"/>
        <w:rPr>
          <w:b/>
          <w:bCs/>
        </w:rPr>
      </w:pPr>
      <w:r w:rsidRPr="00727AB8">
        <w:rPr>
          <w:b/>
          <w:bCs/>
        </w:rPr>
        <w:lastRenderedPageBreak/>
        <w:t>Table 1</w:t>
      </w:r>
    </w:p>
    <w:p w14:paraId="0EB89E32" w14:textId="408E6ABD" w:rsidR="00B924A2" w:rsidRPr="00727AB8" w:rsidRDefault="00B924A2" w:rsidP="002A352C">
      <w:pPr>
        <w:pStyle w:val="BodyText"/>
        <w:spacing w:after="120"/>
        <w:ind w:firstLine="0"/>
      </w:pPr>
      <w:r w:rsidRPr="00727AB8">
        <w:t>Technological context factors</w:t>
      </w:r>
    </w:p>
    <w:tbl>
      <w:tblPr>
        <w:tblStyle w:val="GridTable1Light"/>
        <w:tblW w:w="9299" w:type="dxa"/>
        <w:jc w:val="center"/>
        <w:tblLayout w:type="fixed"/>
        <w:tblCellMar>
          <w:left w:w="57" w:type="dxa"/>
          <w:right w:w="57" w:type="dxa"/>
        </w:tblCellMar>
        <w:tblLook w:val="0000" w:firstRow="0" w:lastRow="0" w:firstColumn="0" w:lastColumn="0" w:noHBand="0" w:noVBand="0"/>
      </w:tblPr>
      <w:tblGrid>
        <w:gridCol w:w="2504"/>
        <w:gridCol w:w="6795"/>
      </w:tblGrid>
      <w:tr w:rsidR="00727AB8" w:rsidRPr="00727AB8" w14:paraId="1CE01FCC" w14:textId="77777777" w:rsidTr="002A352C">
        <w:trPr>
          <w:trHeight w:val="294"/>
          <w:tblHeader/>
          <w:jc w:val="center"/>
        </w:trPr>
        <w:tc>
          <w:tcPr>
            <w:tcW w:w="2528" w:type="dxa"/>
          </w:tcPr>
          <w:p w14:paraId="6FC5516B" w14:textId="77777777" w:rsidR="00B924A2" w:rsidRPr="00727AB8" w:rsidRDefault="00B924A2" w:rsidP="00727AB8">
            <w:pPr>
              <w:widowControl w:val="0"/>
              <w:spacing w:before="60" w:after="60"/>
              <w:jc w:val="center"/>
              <w:rPr>
                <w:b/>
                <w:sz w:val="24"/>
              </w:rPr>
            </w:pPr>
            <w:r w:rsidRPr="00727AB8">
              <w:rPr>
                <w:b/>
                <w:sz w:val="24"/>
              </w:rPr>
              <w:t>Factor</w:t>
            </w:r>
          </w:p>
        </w:tc>
        <w:tc>
          <w:tcPr>
            <w:tcW w:w="6861" w:type="dxa"/>
          </w:tcPr>
          <w:p w14:paraId="7FD15613" w14:textId="77777777" w:rsidR="00B924A2" w:rsidRPr="00727AB8" w:rsidRDefault="00B924A2" w:rsidP="00727AB8">
            <w:pPr>
              <w:widowControl w:val="0"/>
              <w:spacing w:before="60" w:after="60"/>
              <w:jc w:val="center"/>
              <w:rPr>
                <w:b/>
                <w:sz w:val="24"/>
              </w:rPr>
            </w:pPr>
            <w:r w:rsidRPr="00727AB8">
              <w:rPr>
                <w:b/>
                <w:sz w:val="24"/>
              </w:rPr>
              <w:t>Description</w:t>
            </w:r>
          </w:p>
        </w:tc>
      </w:tr>
      <w:tr w:rsidR="00727AB8" w:rsidRPr="00727AB8" w14:paraId="34B6888A" w14:textId="77777777" w:rsidTr="002A352C">
        <w:trPr>
          <w:trHeight w:val="348"/>
          <w:tblHeader/>
          <w:jc w:val="center"/>
        </w:trPr>
        <w:tc>
          <w:tcPr>
            <w:tcW w:w="2528" w:type="dxa"/>
          </w:tcPr>
          <w:p w14:paraId="5D30A98D" w14:textId="77777777" w:rsidR="00B924A2" w:rsidRPr="00727AB8" w:rsidRDefault="00B924A2" w:rsidP="00727AB8">
            <w:pPr>
              <w:pStyle w:val="NoSpacing"/>
              <w:widowControl w:val="0"/>
              <w:spacing w:before="60" w:after="60"/>
              <w:jc w:val="center"/>
              <w:rPr>
                <w:sz w:val="24"/>
              </w:rPr>
            </w:pPr>
            <w:r w:rsidRPr="00727AB8">
              <w:rPr>
                <w:sz w:val="24"/>
              </w:rPr>
              <w:t>Big Data Management</w:t>
            </w:r>
          </w:p>
        </w:tc>
        <w:tc>
          <w:tcPr>
            <w:tcW w:w="6861" w:type="dxa"/>
          </w:tcPr>
          <w:p w14:paraId="2EE57B43" w14:textId="77777777" w:rsidR="00B924A2" w:rsidRPr="00727AB8" w:rsidRDefault="00B924A2" w:rsidP="00727AB8">
            <w:pPr>
              <w:pStyle w:val="NoSpacing"/>
              <w:widowControl w:val="0"/>
              <w:spacing w:before="60" w:after="60"/>
              <w:jc w:val="center"/>
              <w:rPr>
                <w:sz w:val="24"/>
              </w:rPr>
            </w:pPr>
            <w:r w:rsidRPr="00727AB8">
              <w:rPr>
                <w:sz w:val="24"/>
              </w:rPr>
              <w:t>The extent to which big data management systems for structured and unstructured data have been implemented</w:t>
            </w:r>
          </w:p>
        </w:tc>
      </w:tr>
      <w:tr w:rsidR="00727AB8" w:rsidRPr="00727AB8" w14:paraId="234F8EB5" w14:textId="77777777" w:rsidTr="002A352C">
        <w:trPr>
          <w:trHeight w:val="348"/>
          <w:tblHeader/>
          <w:jc w:val="center"/>
        </w:trPr>
        <w:tc>
          <w:tcPr>
            <w:tcW w:w="2528" w:type="dxa"/>
          </w:tcPr>
          <w:p w14:paraId="59A0EFBF" w14:textId="77777777" w:rsidR="00B924A2" w:rsidRPr="00727AB8" w:rsidRDefault="00B924A2" w:rsidP="00727AB8">
            <w:pPr>
              <w:pStyle w:val="NoSpacing"/>
              <w:widowControl w:val="0"/>
              <w:spacing w:before="60" w:after="60"/>
              <w:jc w:val="center"/>
              <w:rPr>
                <w:sz w:val="24"/>
              </w:rPr>
            </w:pPr>
            <w:r w:rsidRPr="00727AB8">
              <w:rPr>
                <w:sz w:val="24"/>
              </w:rPr>
              <w:t>Relative Advantage</w:t>
            </w:r>
          </w:p>
        </w:tc>
        <w:tc>
          <w:tcPr>
            <w:tcW w:w="6861" w:type="dxa"/>
          </w:tcPr>
          <w:p w14:paraId="0E1A5585" w14:textId="77777777" w:rsidR="00B924A2" w:rsidRPr="00727AB8" w:rsidRDefault="00B924A2" w:rsidP="00727AB8">
            <w:pPr>
              <w:pStyle w:val="NoSpacing"/>
              <w:widowControl w:val="0"/>
              <w:spacing w:before="60" w:after="60"/>
              <w:jc w:val="center"/>
              <w:rPr>
                <w:sz w:val="24"/>
              </w:rPr>
            </w:pPr>
            <w:r w:rsidRPr="00727AB8">
              <w:rPr>
                <w:sz w:val="24"/>
              </w:rPr>
              <w:t>The degree to which AI in SCRM is perceived as being better than the current SCRM intelligence systems</w:t>
            </w:r>
          </w:p>
        </w:tc>
      </w:tr>
      <w:tr w:rsidR="00727AB8" w:rsidRPr="00727AB8" w14:paraId="02A031CF" w14:textId="77777777" w:rsidTr="002A352C">
        <w:trPr>
          <w:trHeight w:val="348"/>
          <w:tblHeader/>
          <w:jc w:val="center"/>
        </w:trPr>
        <w:tc>
          <w:tcPr>
            <w:tcW w:w="2528" w:type="dxa"/>
          </w:tcPr>
          <w:p w14:paraId="3E2282DB" w14:textId="77777777" w:rsidR="00B924A2" w:rsidRPr="00727AB8" w:rsidRDefault="00B924A2" w:rsidP="00727AB8">
            <w:pPr>
              <w:pStyle w:val="NoSpacing"/>
              <w:widowControl w:val="0"/>
              <w:spacing w:before="60" w:after="60"/>
              <w:jc w:val="center"/>
              <w:rPr>
                <w:sz w:val="24"/>
              </w:rPr>
            </w:pPr>
            <w:r w:rsidRPr="00727AB8">
              <w:rPr>
                <w:sz w:val="24"/>
              </w:rPr>
              <w:t>Cost of Ownership</w:t>
            </w:r>
          </w:p>
        </w:tc>
        <w:tc>
          <w:tcPr>
            <w:tcW w:w="6861" w:type="dxa"/>
          </w:tcPr>
          <w:p w14:paraId="4D02E1E0" w14:textId="77777777" w:rsidR="00B924A2" w:rsidRPr="00727AB8" w:rsidRDefault="00B924A2" w:rsidP="00727AB8">
            <w:pPr>
              <w:pStyle w:val="NoSpacing"/>
              <w:widowControl w:val="0"/>
              <w:spacing w:before="60" w:after="60"/>
              <w:jc w:val="center"/>
              <w:rPr>
                <w:sz w:val="24"/>
              </w:rPr>
            </w:pPr>
            <w:r w:rsidRPr="00727AB8">
              <w:rPr>
                <w:sz w:val="24"/>
              </w:rPr>
              <w:t>The degree to which AI in SCRM is perceived to be costly to adopt, implement and use</w:t>
            </w:r>
          </w:p>
        </w:tc>
      </w:tr>
    </w:tbl>
    <w:p w14:paraId="5B8A01C8" w14:textId="544610A8" w:rsidR="00B924A2" w:rsidRPr="00727AB8" w:rsidRDefault="00B924A2" w:rsidP="00727AB8">
      <w:pPr>
        <w:pStyle w:val="BodyText"/>
        <w:spacing w:line="252" w:lineRule="auto"/>
        <w:ind w:firstLine="0"/>
        <w:rPr>
          <w:sz w:val="20"/>
          <w:szCs w:val="20"/>
        </w:rPr>
      </w:pPr>
      <w:r w:rsidRPr="00727AB8">
        <w:rPr>
          <w:sz w:val="20"/>
          <w:szCs w:val="20"/>
        </w:rPr>
        <w:t xml:space="preserve">Source: </w:t>
      </w:r>
      <w:r w:rsidR="00FE1C43" w:rsidRPr="00727AB8">
        <w:rPr>
          <w:sz w:val="20"/>
          <w:szCs w:val="20"/>
        </w:rPr>
        <w:t>Author’s compilation</w:t>
      </w:r>
    </w:p>
    <w:p w14:paraId="7ED444C2" w14:textId="564BBD64" w:rsidR="00100FA5" w:rsidRPr="00727AB8" w:rsidRDefault="00100FA5" w:rsidP="00727AB8">
      <w:pPr>
        <w:pStyle w:val="Heading3"/>
        <w:keepNext w:val="0"/>
        <w:keepLines w:val="0"/>
        <w:rPr>
          <w:rFonts w:cs="Times New Roman"/>
        </w:rPr>
      </w:pPr>
      <w:bookmarkStart w:id="2" w:name="_Toc56950100"/>
      <w:r w:rsidRPr="00727AB8">
        <w:rPr>
          <w:rFonts w:cs="Times New Roman"/>
        </w:rPr>
        <w:t>3.1.2. Organizational context</w:t>
      </w:r>
      <w:bookmarkEnd w:id="2"/>
    </w:p>
    <w:p w14:paraId="7FF3C650" w14:textId="5A2F75B9" w:rsidR="00B924A2" w:rsidRPr="00727AB8" w:rsidRDefault="00100FA5" w:rsidP="002A352C">
      <w:pPr>
        <w:pStyle w:val="BodyText"/>
        <w:spacing w:line="245" w:lineRule="auto"/>
      </w:pPr>
      <w:r w:rsidRPr="00727AB8">
        <w:t>For the organizational context, the authors propose three factors, as defined in Table 2. Talent has been cited as a critical and significant factor in the adoption stages of innovation technologies (Jeble et al., 2018). Top management support has been cited as another significant factor influencing the organization’s decision to adopt innovative technologies (Chen et al., 2015; Lai</w:t>
      </w:r>
      <w:r w:rsidR="00F30253" w:rsidRPr="00727AB8">
        <w:t>,</w:t>
      </w:r>
      <w:r w:rsidRPr="00727AB8">
        <w:t xml:space="preserve"> </w:t>
      </w:r>
      <w:r w:rsidR="00F30253" w:rsidRPr="00727AB8">
        <w:rPr>
          <w:lang w:val="en-GB"/>
        </w:rPr>
        <w:t>Huifen, &amp; Jifan,</w:t>
      </w:r>
      <w:r w:rsidR="00F30253" w:rsidRPr="00727AB8">
        <w:t xml:space="preserve"> </w:t>
      </w:r>
      <w:r w:rsidRPr="00727AB8">
        <w:t>2018). A new factor that has been considered and is relevant in the field of SCRM is the integration with Enterprise Risk Management (ERM) policies and standards. SCRM is a part of ERM (Curkovic</w:t>
      </w:r>
      <w:r w:rsidR="00F30253" w:rsidRPr="00727AB8">
        <w:t>,</w:t>
      </w:r>
      <w:r w:rsidRPr="00727AB8">
        <w:t xml:space="preserve"> </w:t>
      </w:r>
      <w:r w:rsidR="00F30253" w:rsidRPr="00727AB8">
        <w:rPr>
          <w:lang w:val="en-GB"/>
        </w:rPr>
        <w:t>Scannell, Wagner, &amp; Vitek,</w:t>
      </w:r>
      <w:r w:rsidR="00F30253" w:rsidRPr="00727AB8">
        <w:t xml:space="preserve"> </w:t>
      </w:r>
      <w:r w:rsidRPr="00727AB8">
        <w:t>2013) and it was pointed out by the industry SMEs that alignment with ERM policies and standards is a critical requirement for any AI-based decision-making system to gain acceptance in the organization.</w:t>
      </w:r>
    </w:p>
    <w:p w14:paraId="46DE827A" w14:textId="2D6CCA63" w:rsidR="00100FA5" w:rsidRPr="00727AB8" w:rsidRDefault="00100FA5" w:rsidP="002A352C">
      <w:pPr>
        <w:pStyle w:val="BodyText"/>
        <w:ind w:firstLine="0"/>
        <w:rPr>
          <w:b/>
          <w:bCs/>
        </w:rPr>
      </w:pPr>
      <w:r w:rsidRPr="00727AB8">
        <w:rPr>
          <w:b/>
          <w:bCs/>
        </w:rPr>
        <w:t>Table 2</w:t>
      </w:r>
    </w:p>
    <w:p w14:paraId="614061DA" w14:textId="6F391F0B" w:rsidR="00100FA5" w:rsidRPr="00727AB8" w:rsidRDefault="00100FA5" w:rsidP="002A352C">
      <w:pPr>
        <w:pStyle w:val="BodyText"/>
        <w:spacing w:after="120"/>
        <w:ind w:firstLine="0"/>
      </w:pPr>
      <w:r w:rsidRPr="00727AB8">
        <w:t>Organizational context factors</w:t>
      </w:r>
    </w:p>
    <w:tbl>
      <w:tblPr>
        <w:tblStyle w:val="GridTable1Light"/>
        <w:tblW w:w="9299" w:type="dxa"/>
        <w:jc w:val="center"/>
        <w:tblLayout w:type="fixed"/>
        <w:tblCellMar>
          <w:left w:w="57" w:type="dxa"/>
          <w:right w:w="57" w:type="dxa"/>
        </w:tblCellMar>
        <w:tblLook w:val="0000" w:firstRow="0" w:lastRow="0" w:firstColumn="0" w:lastColumn="0" w:noHBand="0" w:noVBand="0"/>
      </w:tblPr>
      <w:tblGrid>
        <w:gridCol w:w="2605"/>
        <w:gridCol w:w="6694"/>
      </w:tblGrid>
      <w:tr w:rsidR="00727AB8" w:rsidRPr="00727AB8" w14:paraId="4E7301DA" w14:textId="77777777" w:rsidTr="002A352C">
        <w:trPr>
          <w:trHeight w:val="258"/>
          <w:tblHeader/>
          <w:jc w:val="center"/>
        </w:trPr>
        <w:tc>
          <w:tcPr>
            <w:tcW w:w="2636" w:type="dxa"/>
          </w:tcPr>
          <w:p w14:paraId="759FE9E7" w14:textId="77777777" w:rsidR="00100FA5" w:rsidRPr="00727AB8" w:rsidRDefault="00100FA5" w:rsidP="002A352C">
            <w:pPr>
              <w:widowControl w:val="0"/>
              <w:spacing w:before="40" w:after="60"/>
              <w:jc w:val="center"/>
              <w:rPr>
                <w:b/>
                <w:sz w:val="24"/>
              </w:rPr>
            </w:pPr>
            <w:r w:rsidRPr="00727AB8">
              <w:rPr>
                <w:b/>
                <w:sz w:val="24"/>
              </w:rPr>
              <w:t>Factor Name</w:t>
            </w:r>
          </w:p>
        </w:tc>
        <w:tc>
          <w:tcPr>
            <w:tcW w:w="6778" w:type="dxa"/>
          </w:tcPr>
          <w:p w14:paraId="12DD4A2B" w14:textId="77777777" w:rsidR="00100FA5" w:rsidRPr="00727AB8" w:rsidRDefault="00100FA5" w:rsidP="002A352C">
            <w:pPr>
              <w:widowControl w:val="0"/>
              <w:spacing w:before="40" w:after="60"/>
              <w:jc w:val="center"/>
              <w:rPr>
                <w:b/>
                <w:sz w:val="24"/>
              </w:rPr>
            </w:pPr>
            <w:r w:rsidRPr="00727AB8">
              <w:rPr>
                <w:b/>
                <w:sz w:val="24"/>
              </w:rPr>
              <w:t>Description</w:t>
            </w:r>
          </w:p>
        </w:tc>
      </w:tr>
      <w:tr w:rsidR="00727AB8" w:rsidRPr="00727AB8" w14:paraId="5AB4F8E5" w14:textId="77777777" w:rsidTr="002A352C">
        <w:trPr>
          <w:trHeight w:val="306"/>
          <w:jc w:val="center"/>
        </w:trPr>
        <w:tc>
          <w:tcPr>
            <w:tcW w:w="2636" w:type="dxa"/>
          </w:tcPr>
          <w:p w14:paraId="2D1AE4CF" w14:textId="77777777" w:rsidR="00100FA5" w:rsidRPr="00727AB8" w:rsidRDefault="00100FA5" w:rsidP="002A352C">
            <w:pPr>
              <w:widowControl w:val="0"/>
              <w:spacing w:before="40" w:after="60"/>
              <w:jc w:val="center"/>
              <w:rPr>
                <w:sz w:val="24"/>
              </w:rPr>
            </w:pPr>
            <w:r w:rsidRPr="00727AB8">
              <w:rPr>
                <w:sz w:val="24"/>
              </w:rPr>
              <w:t>Talent</w:t>
            </w:r>
          </w:p>
        </w:tc>
        <w:tc>
          <w:tcPr>
            <w:tcW w:w="6778" w:type="dxa"/>
          </w:tcPr>
          <w:p w14:paraId="7BC8A027" w14:textId="77777777" w:rsidR="00100FA5" w:rsidRPr="00727AB8" w:rsidRDefault="00100FA5" w:rsidP="002A352C">
            <w:pPr>
              <w:widowControl w:val="0"/>
              <w:spacing w:before="40" w:after="60"/>
              <w:jc w:val="center"/>
              <w:rPr>
                <w:sz w:val="24"/>
              </w:rPr>
            </w:pPr>
            <w:r w:rsidRPr="00727AB8">
              <w:rPr>
                <w:sz w:val="24"/>
              </w:rPr>
              <w:t>Availability of knowledgeable and experienced employees who can lead and drive the adoption of AI in SCRM</w:t>
            </w:r>
          </w:p>
        </w:tc>
      </w:tr>
      <w:tr w:rsidR="00727AB8" w:rsidRPr="00727AB8" w14:paraId="1BB052CF" w14:textId="77777777" w:rsidTr="002A352C">
        <w:trPr>
          <w:trHeight w:val="306"/>
          <w:jc w:val="center"/>
        </w:trPr>
        <w:tc>
          <w:tcPr>
            <w:tcW w:w="2636" w:type="dxa"/>
          </w:tcPr>
          <w:p w14:paraId="6BBD456D" w14:textId="77777777" w:rsidR="00100FA5" w:rsidRPr="00727AB8" w:rsidRDefault="00100FA5" w:rsidP="002A352C">
            <w:pPr>
              <w:widowControl w:val="0"/>
              <w:spacing w:before="40" w:after="60"/>
              <w:jc w:val="center"/>
              <w:rPr>
                <w:sz w:val="24"/>
              </w:rPr>
            </w:pPr>
            <w:r w:rsidRPr="00727AB8">
              <w:rPr>
                <w:sz w:val="24"/>
              </w:rPr>
              <w:t>Top Management Support</w:t>
            </w:r>
          </w:p>
        </w:tc>
        <w:tc>
          <w:tcPr>
            <w:tcW w:w="6778" w:type="dxa"/>
          </w:tcPr>
          <w:p w14:paraId="571D5770" w14:textId="77777777" w:rsidR="00100FA5" w:rsidRPr="00727AB8" w:rsidRDefault="00100FA5" w:rsidP="002A352C">
            <w:pPr>
              <w:widowControl w:val="0"/>
              <w:spacing w:before="40" w:after="60"/>
              <w:jc w:val="center"/>
              <w:rPr>
                <w:sz w:val="24"/>
              </w:rPr>
            </w:pPr>
            <w:r w:rsidRPr="00727AB8">
              <w:rPr>
                <w:sz w:val="24"/>
              </w:rPr>
              <w:t>The extent to which the top management drives and supports AI adoption in SCRM</w:t>
            </w:r>
          </w:p>
        </w:tc>
      </w:tr>
      <w:tr w:rsidR="00727AB8" w:rsidRPr="00727AB8" w14:paraId="439DE0D3" w14:textId="77777777" w:rsidTr="002A352C">
        <w:trPr>
          <w:trHeight w:val="306"/>
          <w:jc w:val="center"/>
        </w:trPr>
        <w:tc>
          <w:tcPr>
            <w:tcW w:w="2636" w:type="dxa"/>
          </w:tcPr>
          <w:p w14:paraId="566590FC" w14:textId="77777777" w:rsidR="00100FA5" w:rsidRPr="00727AB8" w:rsidRDefault="00100FA5" w:rsidP="002A352C">
            <w:pPr>
              <w:widowControl w:val="0"/>
              <w:spacing w:before="40" w:after="60"/>
              <w:jc w:val="center"/>
              <w:rPr>
                <w:sz w:val="24"/>
              </w:rPr>
            </w:pPr>
            <w:r w:rsidRPr="00727AB8">
              <w:rPr>
                <w:sz w:val="24"/>
              </w:rPr>
              <w:t>ERM Alignment</w:t>
            </w:r>
          </w:p>
        </w:tc>
        <w:tc>
          <w:tcPr>
            <w:tcW w:w="6778" w:type="dxa"/>
          </w:tcPr>
          <w:p w14:paraId="1177FFD2" w14:textId="77777777" w:rsidR="00100FA5" w:rsidRPr="00727AB8" w:rsidRDefault="00100FA5" w:rsidP="002A352C">
            <w:pPr>
              <w:widowControl w:val="0"/>
              <w:spacing w:before="40" w:after="60"/>
              <w:jc w:val="center"/>
              <w:rPr>
                <w:sz w:val="24"/>
              </w:rPr>
            </w:pPr>
            <w:r w:rsidRPr="00727AB8">
              <w:rPr>
                <w:sz w:val="24"/>
              </w:rPr>
              <w:t>The extent to which SCRM processes are integrated and aligned with the Enterprise Risk Management strategy</w:t>
            </w:r>
          </w:p>
        </w:tc>
      </w:tr>
    </w:tbl>
    <w:p w14:paraId="104EF050" w14:textId="6DD9DE62" w:rsidR="00100FA5" w:rsidRPr="00727AB8" w:rsidRDefault="00100FA5" w:rsidP="00727AB8">
      <w:pPr>
        <w:pStyle w:val="BodyText"/>
        <w:spacing w:line="252" w:lineRule="auto"/>
        <w:ind w:firstLine="0"/>
        <w:rPr>
          <w:sz w:val="20"/>
          <w:szCs w:val="20"/>
        </w:rPr>
      </w:pPr>
      <w:r w:rsidRPr="00727AB8">
        <w:rPr>
          <w:sz w:val="20"/>
          <w:szCs w:val="20"/>
        </w:rPr>
        <w:t xml:space="preserve">Source: </w:t>
      </w:r>
      <w:r w:rsidR="005D3854" w:rsidRPr="00727AB8">
        <w:rPr>
          <w:sz w:val="20"/>
          <w:szCs w:val="20"/>
        </w:rPr>
        <w:t>Author’s compilation</w:t>
      </w:r>
    </w:p>
    <w:p w14:paraId="58B06FAD" w14:textId="61D802C5" w:rsidR="00100FA5" w:rsidRPr="00727AB8" w:rsidRDefault="00100FA5" w:rsidP="002A352C">
      <w:pPr>
        <w:pStyle w:val="Heading3"/>
        <w:keepNext w:val="0"/>
        <w:keepLines w:val="0"/>
        <w:spacing w:line="245" w:lineRule="auto"/>
        <w:rPr>
          <w:rFonts w:cs="Times New Roman"/>
        </w:rPr>
      </w:pPr>
      <w:bookmarkStart w:id="3" w:name="_Toc56950101"/>
      <w:r w:rsidRPr="00727AB8">
        <w:rPr>
          <w:rFonts w:cs="Times New Roman"/>
        </w:rPr>
        <w:t>3.1.3. Environmental context</w:t>
      </w:r>
      <w:bookmarkEnd w:id="3"/>
    </w:p>
    <w:p w14:paraId="03B92215" w14:textId="5DAE633D" w:rsidR="00100FA5" w:rsidRPr="00727AB8" w:rsidRDefault="00100FA5" w:rsidP="002A352C">
      <w:pPr>
        <w:pStyle w:val="BodyText"/>
        <w:spacing w:line="245" w:lineRule="auto"/>
        <w:ind w:firstLine="709"/>
        <w:rPr>
          <w:bCs/>
        </w:rPr>
      </w:pPr>
      <w:r w:rsidRPr="00727AB8">
        <w:rPr>
          <w:lang w:val="en-GB"/>
        </w:rPr>
        <w:t>For the environmental context, the authors propose two factors, as defined in Table 3. External pressure has been consistently cited under various terminologies and is a significant factor in adoption studies (Hossain et al., 2016). Also, a new factor has been introduced based on mentions in past literature and inputs collected from industry experts through unstructured interviews. Negative effects of disruptive events like man-made or natural disasters on the supply chain have fuelled interest in SCRM (Sodhi</w:t>
      </w:r>
      <w:r w:rsidR="00F30253" w:rsidRPr="00727AB8">
        <w:rPr>
          <w:lang w:val="en-GB"/>
        </w:rPr>
        <w:t>,</w:t>
      </w:r>
      <w:r w:rsidRPr="00727AB8">
        <w:rPr>
          <w:lang w:val="en-GB"/>
        </w:rPr>
        <w:t xml:space="preserve"> </w:t>
      </w:r>
      <w:r w:rsidR="00F30253" w:rsidRPr="00727AB8">
        <w:rPr>
          <w:lang w:val="en-GB"/>
        </w:rPr>
        <w:t xml:space="preserve">Son, &amp; Tang, </w:t>
      </w:r>
      <w:r w:rsidRPr="00727AB8">
        <w:rPr>
          <w:lang w:val="en-GB"/>
        </w:rPr>
        <w:t xml:space="preserve">2012). </w:t>
      </w:r>
      <w:r w:rsidRPr="00727AB8">
        <w:rPr>
          <w:bCs/>
        </w:rPr>
        <w:t>Past research provides evidence of predicting the likelihood of occurrence of risks (Ojha</w:t>
      </w:r>
      <w:r w:rsidR="00F30253" w:rsidRPr="00727AB8">
        <w:rPr>
          <w:bCs/>
        </w:rPr>
        <w:t>,</w:t>
      </w:r>
      <w:r w:rsidRPr="00727AB8">
        <w:rPr>
          <w:bCs/>
        </w:rPr>
        <w:t xml:space="preserve"> </w:t>
      </w:r>
      <w:r w:rsidR="00F30253" w:rsidRPr="00727AB8">
        <w:rPr>
          <w:lang w:val="en-GB"/>
        </w:rPr>
        <w:t>Ghadge, Tiwari, &amp; Bititci,</w:t>
      </w:r>
      <w:r w:rsidR="00F30253" w:rsidRPr="00727AB8">
        <w:rPr>
          <w:bCs/>
        </w:rPr>
        <w:t xml:space="preserve"> </w:t>
      </w:r>
      <w:r w:rsidRPr="00727AB8">
        <w:rPr>
          <w:bCs/>
        </w:rPr>
        <w:t xml:space="preserve">2018). </w:t>
      </w:r>
      <w:r w:rsidRPr="00727AB8">
        <w:rPr>
          <w:lang w:val="en-GB"/>
        </w:rPr>
        <w:t>Given that AI can help not just in risk identification but also in areas of risk response (Baryannis</w:t>
      </w:r>
      <w:r w:rsidR="00F30253" w:rsidRPr="00727AB8">
        <w:rPr>
          <w:lang w:val="en-GB"/>
        </w:rPr>
        <w:t>,</w:t>
      </w:r>
      <w:r w:rsidRPr="00727AB8">
        <w:rPr>
          <w:lang w:val="en-GB"/>
        </w:rPr>
        <w:t xml:space="preserve"> </w:t>
      </w:r>
      <w:r w:rsidR="00F30253" w:rsidRPr="00727AB8">
        <w:rPr>
          <w:lang w:val="en-GB"/>
        </w:rPr>
        <w:t xml:space="preserve">Validi, Dani, &amp; Antoniou, </w:t>
      </w:r>
      <w:r w:rsidRPr="00727AB8">
        <w:rPr>
          <w:lang w:val="en-GB"/>
        </w:rPr>
        <w:t xml:space="preserve">2019), businesses that have experienced a negative impact from past disruptive events and looking at a proactive mitigation strategy are likely to adopt AI as part of their disruption response processes. </w:t>
      </w:r>
    </w:p>
    <w:p w14:paraId="1CBE6D14" w14:textId="36BF8282" w:rsidR="00100FA5" w:rsidRPr="00727AB8" w:rsidRDefault="00100FA5" w:rsidP="00727AB8">
      <w:pPr>
        <w:pStyle w:val="BodyText"/>
        <w:spacing w:line="252" w:lineRule="auto"/>
        <w:ind w:firstLine="0"/>
        <w:rPr>
          <w:b/>
          <w:bCs/>
        </w:rPr>
      </w:pPr>
      <w:r w:rsidRPr="00727AB8">
        <w:rPr>
          <w:b/>
          <w:bCs/>
        </w:rPr>
        <w:lastRenderedPageBreak/>
        <w:t>Table 3</w:t>
      </w:r>
    </w:p>
    <w:p w14:paraId="506B5CAD" w14:textId="6FA7F27E" w:rsidR="00100FA5" w:rsidRPr="00727AB8" w:rsidRDefault="00100FA5" w:rsidP="00727AB8">
      <w:pPr>
        <w:pStyle w:val="BodyText"/>
        <w:spacing w:after="120" w:line="252" w:lineRule="auto"/>
        <w:ind w:firstLine="0"/>
      </w:pPr>
      <w:r w:rsidRPr="00727AB8">
        <w:t>Environmental context factors</w:t>
      </w:r>
    </w:p>
    <w:tbl>
      <w:tblPr>
        <w:tblStyle w:val="GridTable1Light"/>
        <w:tblW w:w="9299" w:type="dxa"/>
        <w:jc w:val="center"/>
        <w:tblLayout w:type="fixed"/>
        <w:tblCellMar>
          <w:left w:w="57" w:type="dxa"/>
          <w:right w:w="57" w:type="dxa"/>
        </w:tblCellMar>
        <w:tblLook w:val="0000" w:firstRow="0" w:lastRow="0" w:firstColumn="0" w:lastColumn="0" w:noHBand="0" w:noVBand="0"/>
      </w:tblPr>
      <w:tblGrid>
        <w:gridCol w:w="2501"/>
        <w:gridCol w:w="6798"/>
      </w:tblGrid>
      <w:tr w:rsidR="00727AB8" w:rsidRPr="00727AB8" w14:paraId="66D43DCD" w14:textId="77777777" w:rsidTr="002A352C">
        <w:trPr>
          <w:trHeight w:val="278"/>
          <w:tblHeader/>
          <w:jc w:val="center"/>
        </w:trPr>
        <w:tc>
          <w:tcPr>
            <w:tcW w:w="2471" w:type="dxa"/>
          </w:tcPr>
          <w:p w14:paraId="46BE51F8" w14:textId="77777777" w:rsidR="00100FA5" w:rsidRPr="00727AB8" w:rsidRDefault="00100FA5" w:rsidP="00727AB8">
            <w:pPr>
              <w:widowControl w:val="0"/>
              <w:spacing w:before="60" w:after="60"/>
              <w:jc w:val="center"/>
              <w:rPr>
                <w:b/>
                <w:sz w:val="24"/>
              </w:rPr>
            </w:pPr>
            <w:r w:rsidRPr="00727AB8">
              <w:rPr>
                <w:b/>
                <w:sz w:val="24"/>
              </w:rPr>
              <w:t>Factor Name</w:t>
            </w:r>
          </w:p>
        </w:tc>
        <w:tc>
          <w:tcPr>
            <w:tcW w:w="6718" w:type="dxa"/>
          </w:tcPr>
          <w:p w14:paraId="0E5B7CED" w14:textId="77777777" w:rsidR="00100FA5" w:rsidRPr="00727AB8" w:rsidRDefault="00100FA5" w:rsidP="00727AB8">
            <w:pPr>
              <w:widowControl w:val="0"/>
              <w:spacing w:before="60" w:after="60"/>
              <w:jc w:val="center"/>
              <w:rPr>
                <w:b/>
                <w:sz w:val="24"/>
              </w:rPr>
            </w:pPr>
            <w:r w:rsidRPr="00727AB8">
              <w:rPr>
                <w:b/>
                <w:sz w:val="24"/>
              </w:rPr>
              <w:t>Description</w:t>
            </w:r>
          </w:p>
        </w:tc>
      </w:tr>
      <w:tr w:rsidR="00727AB8" w:rsidRPr="00727AB8" w14:paraId="455245DC" w14:textId="77777777" w:rsidTr="002A352C">
        <w:trPr>
          <w:trHeight w:val="329"/>
          <w:jc w:val="center"/>
        </w:trPr>
        <w:tc>
          <w:tcPr>
            <w:tcW w:w="2471" w:type="dxa"/>
          </w:tcPr>
          <w:p w14:paraId="7753DA07" w14:textId="77777777" w:rsidR="00100FA5" w:rsidRPr="00727AB8" w:rsidRDefault="00100FA5" w:rsidP="00727AB8">
            <w:pPr>
              <w:widowControl w:val="0"/>
              <w:spacing w:before="60" w:after="60"/>
              <w:jc w:val="center"/>
              <w:rPr>
                <w:sz w:val="24"/>
              </w:rPr>
            </w:pPr>
            <w:r w:rsidRPr="00727AB8">
              <w:rPr>
                <w:sz w:val="24"/>
              </w:rPr>
              <w:t>External Pressure</w:t>
            </w:r>
          </w:p>
        </w:tc>
        <w:tc>
          <w:tcPr>
            <w:tcW w:w="6718" w:type="dxa"/>
          </w:tcPr>
          <w:p w14:paraId="66E048B5" w14:textId="77777777" w:rsidR="00100FA5" w:rsidRPr="00727AB8" w:rsidRDefault="00100FA5" w:rsidP="00727AB8">
            <w:pPr>
              <w:widowControl w:val="0"/>
              <w:spacing w:before="60" w:after="60"/>
              <w:jc w:val="center"/>
              <w:rPr>
                <w:sz w:val="24"/>
              </w:rPr>
            </w:pPr>
            <w:r w:rsidRPr="00727AB8">
              <w:rPr>
                <w:sz w:val="24"/>
              </w:rPr>
              <w:t>The extent of influence from the external environment that drives the organization to adopt AI in SCRM</w:t>
            </w:r>
          </w:p>
        </w:tc>
      </w:tr>
      <w:tr w:rsidR="00727AB8" w:rsidRPr="00727AB8" w14:paraId="679645B5" w14:textId="77777777" w:rsidTr="002A352C">
        <w:trPr>
          <w:trHeight w:val="329"/>
          <w:jc w:val="center"/>
        </w:trPr>
        <w:tc>
          <w:tcPr>
            <w:tcW w:w="2471" w:type="dxa"/>
          </w:tcPr>
          <w:p w14:paraId="004ED74D" w14:textId="77777777" w:rsidR="00100FA5" w:rsidRPr="00727AB8" w:rsidRDefault="00100FA5" w:rsidP="00727AB8">
            <w:pPr>
              <w:widowControl w:val="0"/>
              <w:spacing w:before="60" w:after="60"/>
              <w:jc w:val="center"/>
              <w:rPr>
                <w:sz w:val="24"/>
              </w:rPr>
            </w:pPr>
            <w:r w:rsidRPr="00727AB8">
              <w:rPr>
                <w:sz w:val="24"/>
              </w:rPr>
              <w:t>Disruption Response</w:t>
            </w:r>
          </w:p>
        </w:tc>
        <w:tc>
          <w:tcPr>
            <w:tcW w:w="6718" w:type="dxa"/>
          </w:tcPr>
          <w:p w14:paraId="6BA6584C" w14:textId="77777777" w:rsidR="00100FA5" w:rsidRPr="00727AB8" w:rsidRDefault="00100FA5" w:rsidP="00727AB8">
            <w:pPr>
              <w:widowControl w:val="0"/>
              <w:spacing w:before="60" w:after="60"/>
              <w:jc w:val="center"/>
              <w:rPr>
                <w:sz w:val="24"/>
              </w:rPr>
            </w:pPr>
            <w:r w:rsidRPr="00727AB8">
              <w:rPr>
                <w:sz w:val="24"/>
              </w:rPr>
              <w:t>The degree to which AI can support mitigation and response to disruptive events in the supply chain</w:t>
            </w:r>
          </w:p>
        </w:tc>
      </w:tr>
    </w:tbl>
    <w:p w14:paraId="1A3CF53D" w14:textId="40AAA50F" w:rsidR="00100FA5" w:rsidRPr="00727AB8" w:rsidRDefault="00100FA5" w:rsidP="00727AB8">
      <w:pPr>
        <w:pStyle w:val="BodyText"/>
        <w:spacing w:line="252" w:lineRule="auto"/>
        <w:ind w:firstLine="0"/>
        <w:rPr>
          <w:sz w:val="20"/>
          <w:szCs w:val="20"/>
        </w:rPr>
      </w:pPr>
      <w:r w:rsidRPr="00727AB8">
        <w:rPr>
          <w:sz w:val="20"/>
          <w:szCs w:val="20"/>
        </w:rPr>
        <w:t xml:space="preserve">Source: </w:t>
      </w:r>
      <w:r w:rsidR="005D3854" w:rsidRPr="00727AB8">
        <w:rPr>
          <w:sz w:val="20"/>
          <w:szCs w:val="20"/>
        </w:rPr>
        <w:t xml:space="preserve">Author’s </w:t>
      </w:r>
      <w:r w:rsidR="005241C1" w:rsidRPr="00727AB8">
        <w:rPr>
          <w:sz w:val="20"/>
          <w:szCs w:val="20"/>
        </w:rPr>
        <w:t>compilation</w:t>
      </w:r>
    </w:p>
    <w:p w14:paraId="49EEDA46" w14:textId="7614FAC2" w:rsidR="00100FA5" w:rsidRPr="00727AB8" w:rsidRDefault="00100FA5" w:rsidP="00727AB8">
      <w:pPr>
        <w:pStyle w:val="Heading2"/>
        <w:rPr>
          <w:rFonts w:ascii="Times New Roman" w:hAnsi="Times New Roman"/>
        </w:rPr>
      </w:pPr>
      <w:bookmarkStart w:id="4" w:name="_Toc56950104"/>
      <w:r w:rsidRPr="00727AB8">
        <w:rPr>
          <w:rFonts w:ascii="Times New Roman" w:hAnsi="Times New Roman"/>
        </w:rPr>
        <w:t>3.2. Generation of items</w:t>
      </w:r>
      <w:bookmarkEnd w:id="4"/>
    </w:p>
    <w:p w14:paraId="6B3891A9" w14:textId="1D901552" w:rsidR="00100FA5" w:rsidRPr="00727AB8" w:rsidRDefault="00100FA5" w:rsidP="002A352C">
      <w:pPr>
        <w:pStyle w:val="BodyText"/>
      </w:pPr>
      <w:r w:rsidRPr="00727AB8">
        <w:t>To ensure content validity, items for each of the factors were selected and suitably adapted from past literature containing validated instruments (Priyadarshinee</w:t>
      </w:r>
      <w:r w:rsidR="009162FA" w:rsidRPr="00727AB8">
        <w:t>,</w:t>
      </w:r>
      <w:r w:rsidRPr="00727AB8">
        <w:t xml:space="preserve"> </w:t>
      </w:r>
      <w:r w:rsidR="009162FA" w:rsidRPr="00727AB8">
        <w:rPr>
          <w:lang w:val="en-GB"/>
        </w:rPr>
        <w:t>Raut, Jha, &amp; Kamble,</w:t>
      </w:r>
      <w:r w:rsidR="009162FA" w:rsidRPr="00727AB8">
        <w:t xml:space="preserve"> </w:t>
      </w:r>
      <w:r w:rsidRPr="00727AB8">
        <w:t xml:space="preserve">2017). The items have been adopted as well as suitably adapted from past studies with validated instruments. These items have been described in </w:t>
      </w:r>
      <w:r w:rsidR="009162FA" w:rsidRPr="00727AB8">
        <w:t xml:space="preserve">Table </w:t>
      </w:r>
      <w:r w:rsidRPr="00727AB8">
        <w:t xml:space="preserve">4. While studies on the adoption of AI in SCRM are limited, items have been adopted from the sources mentioned in the table below or suitably adapted and contextualized for AI in SCRM from validated instruments across areas including big data analytics, predictive analytics, cloud computing, business intelligence, and business analytics. Inputs from the nine industry SMEs and two academicians were considered for the three new factors, namely, big data management, ERM alignment, and disruption response, and further supported by </w:t>
      </w:r>
      <w:r w:rsidR="006B6A04" w:rsidRPr="00727AB8">
        <w:t xml:space="preserve">a </w:t>
      </w:r>
      <w:r w:rsidRPr="00727AB8">
        <w:t>literature review.</w:t>
      </w:r>
    </w:p>
    <w:p w14:paraId="5BADE6AA" w14:textId="47E25708" w:rsidR="00100FA5" w:rsidRPr="00727AB8" w:rsidRDefault="00100FA5" w:rsidP="002A352C">
      <w:pPr>
        <w:pStyle w:val="BodyText"/>
      </w:pPr>
      <w:r w:rsidRPr="00727AB8">
        <w:t xml:space="preserve">The factors as part of the technological context, namely, relative advantage, and cost of ownership are well-developed factors for technology adoption studies and primarily have been measured as reflective factors in past studies. The new factor under technological context: big data management has been modeled with reflective items. Similarly, the factors as part of the organizational context, namely, talent, and top management support have been cited in past literature to be measured as reflective factors, while the new factor </w:t>
      </w:r>
      <w:r w:rsidR="00F6434D" w:rsidRPr="00727AB8">
        <w:t xml:space="preserve">of </w:t>
      </w:r>
      <w:r w:rsidRPr="00727AB8">
        <w:t>ERM alignment has been developed as a reflective factor. Moreover, the factor of external pressure as part of the environmental context has been cited in past literature to be reflectively measured while the new factor of disruption response has been developed as a reflective factor.</w:t>
      </w:r>
    </w:p>
    <w:p w14:paraId="076B837A" w14:textId="7143E299" w:rsidR="00100FA5" w:rsidRPr="00727AB8" w:rsidRDefault="00100FA5" w:rsidP="00727AB8">
      <w:pPr>
        <w:pStyle w:val="BodyText"/>
        <w:spacing w:line="252" w:lineRule="auto"/>
        <w:ind w:firstLine="0"/>
        <w:rPr>
          <w:b/>
          <w:bCs/>
        </w:rPr>
      </w:pPr>
      <w:r w:rsidRPr="00727AB8">
        <w:rPr>
          <w:b/>
          <w:bCs/>
        </w:rPr>
        <w:t>Table 4</w:t>
      </w:r>
    </w:p>
    <w:p w14:paraId="429F9EDC" w14:textId="5285AE0B" w:rsidR="00100FA5" w:rsidRPr="00727AB8" w:rsidRDefault="00100FA5" w:rsidP="00727AB8">
      <w:pPr>
        <w:pStyle w:val="BodyText"/>
        <w:spacing w:after="120" w:line="252" w:lineRule="auto"/>
        <w:ind w:firstLine="0"/>
      </w:pPr>
      <w:r w:rsidRPr="00727AB8">
        <w:t>Items and Sources</w:t>
      </w:r>
    </w:p>
    <w:tbl>
      <w:tblPr>
        <w:tblStyle w:val="GridTable1Light"/>
        <w:tblW w:w="9299" w:type="dxa"/>
        <w:jc w:val="center"/>
        <w:tblLayout w:type="fixed"/>
        <w:tblCellMar>
          <w:left w:w="57" w:type="dxa"/>
          <w:right w:w="57" w:type="dxa"/>
        </w:tblCellMar>
        <w:tblLook w:val="0000" w:firstRow="0" w:lastRow="0" w:firstColumn="0" w:lastColumn="0" w:noHBand="0" w:noVBand="0"/>
      </w:tblPr>
      <w:tblGrid>
        <w:gridCol w:w="1555"/>
        <w:gridCol w:w="6237"/>
        <w:gridCol w:w="1507"/>
      </w:tblGrid>
      <w:tr w:rsidR="00727AB8" w:rsidRPr="00727AB8" w14:paraId="714A4DE4" w14:textId="77777777" w:rsidTr="002A352C">
        <w:trPr>
          <w:tblHeader/>
          <w:jc w:val="center"/>
        </w:trPr>
        <w:tc>
          <w:tcPr>
            <w:tcW w:w="1555" w:type="dxa"/>
          </w:tcPr>
          <w:p w14:paraId="44BED2C8" w14:textId="77777777" w:rsidR="00100FA5" w:rsidRPr="00727AB8" w:rsidRDefault="00100FA5" w:rsidP="002A352C">
            <w:pPr>
              <w:widowControl w:val="0"/>
              <w:spacing w:before="50" w:after="50"/>
              <w:jc w:val="center"/>
              <w:rPr>
                <w:b/>
                <w:sz w:val="24"/>
                <w:szCs w:val="24"/>
              </w:rPr>
            </w:pPr>
            <w:r w:rsidRPr="00727AB8">
              <w:rPr>
                <w:b/>
                <w:sz w:val="24"/>
                <w:szCs w:val="24"/>
              </w:rPr>
              <w:t>Factor Name</w:t>
            </w:r>
          </w:p>
        </w:tc>
        <w:tc>
          <w:tcPr>
            <w:tcW w:w="6237" w:type="dxa"/>
          </w:tcPr>
          <w:p w14:paraId="67A90D35" w14:textId="77777777" w:rsidR="00100FA5" w:rsidRPr="00727AB8" w:rsidRDefault="00100FA5" w:rsidP="002A352C">
            <w:pPr>
              <w:widowControl w:val="0"/>
              <w:spacing w:before="50" w:after="50"/>
              <w:jc w:val="center"/>
              <w:rPr>
                <w:b/>
                <w:sz w:val="24"/>
                <w:szCs w:val="24"/>
              </w:rPr>
            </w:pPr>
            <w:r w:rsidRPr="00727AB8">
              <w:rPr>
                <w:b/>
                <w:sz w:val="24"/>
                <w:szCs w:val="24"/>
              </w:rPr>
              <w:t>Items</w:t>
            </w:r>
          </w:p>
        </w:tc>
        <w:tc>
          <w:tcPr>
            <w:tcW w:w="1507" w:type="dxa"/>
          </w:tcPr>
          <w:p w14:paraId="5B6CA031" w14:textId="77777777" w:rsidR="00100FA5" w:rsidRPr="00727AB8" w:rsidRDefault="00100FA5" w:rsidP="002A352C">
            <w:pPr>
              <w:widowControl w:val="0"/>
              <w:spacing w:before="50" w:after="50"/>
              <w:jc w:val="center"/>
              <w:rPr>
                <w:b/>
                <w:sz w:val="24"/>
                <w:szCs w:val="24"/>
              </w:rPr>
            </w:pPr>
            <w:r w:rsidRPr="00727AB8">
              <w:rPr>
                <w:b/>
                <w:sz w:val="24"/>
                <w:szCs w:val="24"/>
              </w:rPr>
              <w:t>Sources</w:t>
            </w:r>
          </w:p>
        </w:tc>
      </w:tr>
      <w:tr w:rsidR="00727AB8" w:rsidRPr="00727AB8" w14:paraId="3B100C1B" w14:textId="77777777" w:rsidTr="002A352C">
        <w:trPr>
          <w:jc w:val="center"/>
        </w:trPr>
        <w:tc>
          <w:tcPr>
            <w:tcW w:w="9299" w:type="dxa"/>
            <w:gridSpan w:val="3"/>
          </w:tcPr>
          <w:p w14:paraId="4A9B18B7" w14:textId="77777777" w:rsidR="00100FA5" w:rsidRPr="00727AB8" w:rsidRDefault="00100FA5" w:rsidP="002A352C">
            <w:pPr>
              <w:widowControl w:val="0"/>
              <w:spacing w:before="50" w:after="50"/>
              <w:jc w:val="center"/>
              <w:rPr>
                <w:b/>
                <w:bCs/>
                <w:sz w:val="24"/>
                <w:szCs w:val="24"/>
              </w:rPr>
            </w:pPr>
            <w:r w:rsidRPr="00727AB8">
              <w:rPr>
                <w:b/>
                <w:bCs/>
                <w:sz w:val="24"/>
                <w:szCs w:val="24"/>
              </w:rPr>
              <w:t>Technological Context:</w:t>
            </w:r>
          </w:p>
        </w:tc>
      </w:tr>
      <w:tr w:rsidR="00727AB8" w:rsidRPr="00727AB8" w14:paraId="61D5EAE0" w14:textId="77777777" w:rsidTr="002A352C">
        <w:trPr>
          <w:jc w:val="center"/>
        </w:trPr>
        <w:tc>
          <w:tcPr>
            <w:tcW w:w="1555" w:type="dxa"/>
            <w:vMerge w:val="restart"/>
          </w:tcPr>
          <w:p w14:paraId="71AD49AA" w14:textId="77777777" w:rsidR="00100FA5" w:rsidRPr="00727AB8" w:rsidRDefault="00100FA5" w:rsidP="002A352C">
            <w:pPr>
              <w:widowControl w:val="0"/>
              <w:spacing w:before="50" w:after="50"/>
              <w:jc w:val="center"/>
              <w:rPr>
                <w:sz w:val="24"/>
                <w:szCs w:val="24"/>
              </w:rPr>
            </w:pPr>
            <w:r w:rsidRPr="00727AB8">
              <w:rPr>
                <w:sz w:val="24"/>
                <w:szCs w:val="24"/>
              </w:rPr>
              <w:t>Big Data Management</w:t>
            </w:r>
          </w:p>
        </w:tc>
        <w:tc>
          <w:tcPr>
            <w:tcW w:w="6237" w:type="dxa"/>
          </w:tcPr>
          <w:p w14:paraId="1FEFE124" w14:textId="77777777" w:rsidR="00100FA5" w:rsidRPr="00727AB8" w:rsidRDefault="00100FA5" w:rsidP="002A352C">
            <w:pPr>
              <w:widowControl w:val="0"/>
              <w:spacing w:before="50" w:after="50"/>
              <w:jc w:val="center"/>
              <w:rPr>
                <w:sz w:val="24"/>
                <w:szCs w:val="24"/>
              </w:rPr>
            </w:pPr>
            <w:r w:rsidRPr="00727AB8">
              <w:rPr>
                <w:sz w:val="24"/>
                <w:szCs w:val="24"/>
              </w:rPr>
              <w:t>My company has an Information Technology (IT) team responsible for data management</w:t>
            </w:r>
          </w:p>
        </w:tc>
        <w:tc>
          <w:tcPr>
            <w:tcW w:w="1507" w:type="dxa"/>
            <w:vMerge w:val="restart"/>
          </w:tcPr>
          <w:p w14:paraId="509CE896" w14:textId="3D112057" w:rsidR="00100FA5" w:rsidRPr="00727AB8" w:rsidRDefault="00234EFA" w:rsidP="002A352C">
            <w:pPr>
              <w:widowControl w:val="0"/>
              <w:spacing w:before="50" w:after="50"/>
              <w:jc w:val="center"/>
              <w:rPr>
                <w:sz w:val="24"/>
                <w:szCs w:val="24"/>
              </w:rPr>
            </w:pPr>
            <w:r w:rsidRPr="00727AB8">
              <w:rPr>
                <w:sz w:val="24"/>
                <w:szCs w:val="24"/>
              </w:rPr>
              <w:t>Jeble et al.</w:t>
            </w:r>
            <w:r w:rsidR="00100FA5" w:rsidRPr="00727AB8">
              <w:rPr>
                <w:sz w:val="24"/>
                <w:szCs w:val="24"/>
              </w:rPr>
              <w:t xml:space="preserve"> </w:t>
            </w:r>
            <w:r w:rsidRPr="00727AB8">
              <w:rPr>
                <w:sz w:val="24"/>
                <w:szCs w:val="24"/>
              </w:rPr>
              <w:t>(</w:t>
            </w:r>
            <w:r w:rsidR="00100FA5" w:rsidRPr="00727AB8">
              <w:rPr>
                <w:sz w:val="24"/>
                <w:szCs w:val="24"/>
              </w:rPr>
              <w:t>2018</w:t>
            </w:r>
            <w:r w:rsidRPr="00727AB8">
              <w:rPr>
                <w:sz w:val="24"/>
                <w:szCs w:val="24"/>
              </w:rPr>
              <w:t>)</w:t>
            </w:r>
          </w:p>
          <w:p w14:paraId="2E939969" w14:textId="1294F8AE" w:rsidR="00100FA5" w:rsidRPr="00727AB8" w:rsidRDefault="00100FA5" w:rsidP="002A352C">
            <w:pPr>
              <w:widowControl w:val="0"/>
              <w:spacing w:before="50" w:after="50"/>
              <w:jc w:val="center"/>
              <w:rPr>
                <w:sz w:val="24"/>
                <w:szCs w:val="24"/>
              </w:rPr>
            </w:pPr>
            <w:r w:rsidRPr="00727AB8">
              <w:rPr>
                <w:sz w:val="24"/>
                <w:szCs w:val="24"/>
              </w:rPr>
              <w:t>Brock</w:t>
            </w:r>
            <w:r w:rsidR="00234EFA" w:rsidRPr="00727AB8">
              <w:rPr>
                <w:sz w:val="24"/>
                <w:szCs w:val="24"/>
              </w:rPr>
              <w:t xml:space="preserve"> and Wangenheim</w:t>
            </w:r>
            <w:r w:rsidRPr="00727AB8">
              <w:rPr>
                <w:sz w:val="24"/>
                <w:szCs w:val="24"/>
              </w:rPr>
              <w:t xml:space="preserve"> </w:t>
            </w:r>
            <w:r w:rsidR="00234EFA" w:rsidRPr="00727AB8">
              <w:rPr>
                <w:sz w:val="24"/>
                <w:szCs w:val="24"/>
              </w:rPr>
              <w:t>(</w:t>
            </w:r>
            <w:r w:rsidRPr="00727AB8">
              <w:rPr>
                <w:sz w:val="24"/>
                <w:szCs w:val="24"/>
              </w:rPr>
              <w:t>2019</w:t>
            </w:r>
            <w:r w:rsidR="00234EFA" w:rsidRPr="00727AB8">
              <w:rPr>
                <w:sz w:val="24"/>
                <w:szCs w:val="24"/>
              </w:rPr>
              <w:t>)</w:t>
            </w:r>
          </w:p>
          <w:p w14:paraId="6F711F98" w14:textId="69E27EB7" w:rsidR="00100FA5" w:rsidRPr="00727AB8" w:rsidRDefault="00100FA5" w:rsidP="002A352C">
            <w:pPr>
              <w:widowControl w:val="0"/>
              <w:spacing w:before="50" w:after="50"/>
              <w:jc w:val="center"/>
              <w:rPr>
                <w:sz w:val="24"/>
                <w:szCs w:val="24"/>
              </w:rPr>
            </w:pPr>
            <w:r w:rsidRPr="00727AB8">
              <w:rPr>
                <w:sz w:val="24"/>
                <w:szCs w:val="24"/>
              </w:rPr>
              <w:t>Chen</w:t>
            </w:r>
            <w:r w:rsidR="005F527F" w:rsidRPr="00727AB8">
              <w:rPr>
                <w:sz w:val="24"/>
                <w:szCs w:val="24"/>
              </w:rPr>
              <w:t xml:space="preserve"> et al.</w:t>
            </w:r>
            <w:r w:rsidRPr="00727AB8">
              <w:rPr>
                <w:sz w:val="24"/>
                <w:szCs w:val="24"/>
              </w:rPr>
              <w:t xml:space="preserve"> </w:t>
            </w:r>
            <w:r w:rsidR="005F527F" w:rsidRPr="00727AB8">
              <w:rPr>
                <w:sz w:val="24"/>
                <w:szCs w:val="24"/>
              </w:rPr>
              <w:t>(</w:t>
            </w:r>
            <w:r w:rsidRPr="00727AB8">
              <w:rPr>
                <w:sz w:val="24"/>
                <w:szCs w:val="24"/>
              </w:rPr>
              <w:t>2015</w:t>
            </w:r>
            <w:r w:rsidR="005F527F" w:rsidRPr="00727AB8">
              <w:rPr>
                <w:sz w:val="24"/>
                <w:szCs w:val="24"/>
              </w:rPr>
              <w:t>)</w:t>
            </w:r>
          </w:p>
        </w:tc>
      </w:tr>
      <w:tr w:rsidR="00727AB8" w:rsidRPr="00727AB8" w14:paraId="61DAB6ED" w14:textId="77777777" w:rsidTr="002A352C">
        <w:trPr>
          <w:jc w:val="center"/>
        </w:trPr>
        <w:tc>
          <w:tcPr>
            <w:tcW w:w="1555" w:type="dxa"/>
            <w:vMerge/>
          </w:tcPr>
          <w:p w14:paraId="66A07980" w14:textId="77777777" w:rsidR="00100FA5" w:rsidRPr="00727AB8" w:rsidRDefault="00100FA5" w:rsidP="002A352C">
            <w:pPr>
              <w:widowControl w:val="0"/>
              <w:spacing w:before="50" w:after="50"/>
              <w:jc w:val="center"/>
              <w:rPr>
                <w:sz w:val="24"/>
                <w:szCs w:val="24"/>
              </w:rPr>
            </w:pPr>
          </w:p>
        </w:tc>
        <w:tc>
          <w:tcPr>
            <w:tcW w:w="6237" w:type="dxa"/>
          </w:tcPr>
          <w:p w14:paraId="35621372" w14:textId="77777777" w:rsidR="00100FA5" w:rsidRPr="00727AB8" w:rsidRDefault="00100FA5" w:rsidP="002A352C">
            <w:pPr>
              <w:widowControl w:val="0"/>
              <w:spacing w:before="50" w:after="50"/>
              <w:jc w:val="center"/>
              <w:rPr>
                <w:sz w:val="24"/>
                <w:szCs w:val="24"/>
              </w:rPr>
            </w:pPr>
            <w:r w:rsidRPr="00727AB8">
              <w:rPr>
                <w:sz w:val="24"/>
                <w:szCs w:val="24"/>
              </w:rPr>
              <w:t>My company has access to all supply chain transactional data</w:t>
            </w:r>
          </w:p>
        </w:tc>
        <w:tc>
          <w:tcPr>
            <w:tcW w:w="1507" w:type="dxa"/>
            <w:vMerge/>
          </w:tcPr>
          <w:p w14:paraId="0E90BE21" w14:textId="77777777" w:rsidR="00100FA5" w:rsidRPr="00727AB8" w:rsidRDefault="00100FA5" w:rsidP="002A352C">
            <w:pPr>
              <w:widowControl w:val="0"/>
              <w:spacing w:before="50" w:after="50"/>
              <w:jc w:val="center"/>
              <w:rPr>
                <w:sz w:val="24"/>
                <w:szCs w:val="24"/>
              </w:rPr>
            </w:pPr>
          </w:p>
        </w:tc>
      </w:tr>
      <w:tr w:rsidR="00727AB8" w:rsidRPr="00727AB8" w14:paraId="4757E34E" w14:textId="77777777" w:rsidTr="002A352C">
        <w:trPr>
          <w:jc w:val="center"/>
        </w:trPr>
        <w:tc>
          <w:tcPr>
            <w:tcW w:w="1555" w:type="dxa"/>
            <w:vMerge/>
          </w:tcPr>
          <w:p w14:paraId="1EA8921E" w14:textId="77777777" w:rsidR="00100FA5" w:rsidRPr="00727AB8" w:rsidRDefault="00100FA5" w:rsidP="002A352C">
            <w:pPr>
              <w:widowControl w:val="0"/>
              <w:spacing w:before="50" w:after="50"/>
              <w:jc w:val="center"/>
              <w:rPr>
                <w:sz w:val="24"/>
                <w:szCs w:val="24"/>
              </w:rPr>
            </w:pPr>
          </w:p>
        </w:tc>
        <w:tc>
          <w:tcPr>
            <w:tcW w:w="6237" w:type="dxa"/>
          </w:tcPr>
          <w:p w14:paraId="43FA5194" w14:textId="77777777" w:rsidR="00100FA5" w:rsidRPr="00727AB8" w:rsidRDefault="00100FA5" w:rsidP="002A352C">
            <w:pPr>
              <w:widowControl w:val="0"/>
              <w:spacing w:before="50" w:after="50"/>
              <w:jc w:val="center"/>
              <w:rPr>
                <w:sz w:val="24"/>
                <w:szCs w:val="24"/>
              </w:rPr>
            </w:pPr>
            <w:r w:rsidRPr="00727AB8">
              <w:rPr>
                <w:sz w:val="24"/>
                <w:szCs w:val="24"/>
              </w:rPr>
              <w:t>My company stores various types of data including structured and unstructured data, internal and external data related to supply chain</w:t>
            </w:r>
          </w:p>
        </w:tc>
        <w:tc>
          <w:tcPr>
            <w:tcW w:w="1507" w:type="dxa"/>
            <w:vMerge/>
          </w:tcPr>
          <w:p w14:paraId="75187BF2" w14:textId="77777777" w:rsidR="00100FA5" w:rsidRPr="00727AB8" w:rsidRDefault="00100FA5" w:rsidP="002A352C">
            <w:pPr>
              <w:widowControl w:val="0"/>
              <w:spacing w:before="50" w:after="50"/>
              <w:jc w:val="center"/>
              <w:rPr>
                <w:sz w:val="24"/>
                <w:szCs w:val="24"/>
              </w:rPr>
            </w:pPr>
          </w:p>
        </w:tc>
      </w:tr>
      <w:tr w:rsidR="00727AB8" w:rsidRPr="00727AB8" w14:paraId="0E215956" w14:textId="77777777" w:rsidTr="002A352C">
        <w:trPr>
          <w:jc w:val="center"/>
        </w:trPr>
        <w:tc>
          <w:tcPr>
            <w:tcW w:w="1555" w:type="dxa"/>
            <w:vMerge/>
          </w:tcPr>
          <w:p w14:paraId="11B812DC" w14:textId="77777777" w:rsidR="00100FA5" w:rsidRPr="00727AB8" w:rsidRDefault="00100FA5" w:rsidP="002A352C">
            <w:pPr>
              <w:widowControl w:val="0"/>
              <w:spacing w:before="50" w:after="50"/>
              <w:jc w:val="center"/>
              <w:rPr>
                <w:sz w:val="24"/>
                <w:szCs w:val="24"/>
              </w:rPr>
            </w:pPr>
          </w:p>
        </w:tc>
        <w:tc>
          <w:tcPr>
            <w:tcW w:w="6237" w:type="dxa"/>
          </w:tcPr>
          <w:p w14:paraId="5DB84E7F" w14:textId="77777777" w:rsidR="00100FA5" w:rsidRPr="00727AB8" w:rsidRDefault="00100FA5" w:rsidP="002A352C">
            <w:pPr>
              <w:widowControl w:val="0"/>
              <w:spacing w:before="50" w:after="50"/>
              <w:jc w:val="center"/>
              <w:rPr>
                <w:sz w:val="24"/>
                <w:szCs w:val="24"/>
              </w:rPr>
            </w:pPr>
            <w:r w:rsidRPr="00727AB8">
              <w:rPr>
                <w:sz w:val="24"/>
                <w:szCs w:val="24"/>
              </w:rPr>
              <w:t>My company has implemented data management and data quality systems</w:t>
            </w:r>
          </w:p>
        </w:tc>
        <w:tc>
          <w:tcPr>
            <w:tcW w:w="1507" w:type="dxa"/>
            <w:vMerge/>
          </w:tcPr>
          <w:p w14:paraId="02A85068" w14:textId="77777777" w:rsidR="00100FA5" w:rsidRPr="00727AB8" w:rsidRDefault="00100FA5" w:rsidP="002A352C">
            <w:pPr>
              <w:widowControl w:val="0"/>
              <w:spacing w:before="50" w:after="50"/>
              <w:jc w:val="center"/>
              <w:rPr>
                <w:sz w:val="24"/>
                <w:szCs w:val="24"/>
              </w:rPr>
            </w:pPr>
          </w:p>
        </w:tc>
      </w:tr>
      <w:tr w:rsidR="00727AB8" w:rsidRPr="00727AB8" w14:paraId="198E8044" w14:textId="77777777" w:rsidTr="002A352C">
        <w:trPr>
          <w:jc w:val="center"/>
        </w:trPr>
        <w:tc>
          <w:tcPr>
            <w:tcW w:w="1555" w:type="dxa"/>
            <w:vMerge w:val="restart"/>
          </w:tcPr>
          <w:p w14:paraId="306CEA86" w14:textId="77777777" w:rsidR="00100FA5" w:rsidRPr="00727AB8" w:rsidRDefault="00100FA5" w:rsidP="002A352C">
            <w:pPr>
              <w:widowControl w:val="0"/>
              <w:spacing w:before="50" w:after="50"/>
              <w:jc w:val="center"/>
              <w:rPr>
                <w:sz w:val="24"/>
                <w:szCs w:val="24"/>
              </w:rPr>
            </w:pPr>
            <w:r w:rsidRPr="00727AB8">
              <w:rPr>
                <w:sz w:val="24"/>
                <w:szCs w:val="24"/>
              </w:rPr>
              <w:t>Relative Advantage</w:t>
            </w:r>
          </w:p>
        </w:tc>
        <w:tc>
          <w:tcPr>
            <w:tcW w:w="6237" w:type="dxa"/>
          </w:tcPr>
          <w:p w14:paraId="5D6DDC96" w14:textId="77777777" w:rsidR="00100FA5" w:rsidRPr="00727AB8" w:rsidRDefault="00100FA5" w:rsidP="002A352C">
            <w:pPr>
              <w:widowControl w:val="0"/>
              <w:spacing w:before="50" w:after="50"/>
              <w:jc w:val="center"/>
              <w:rPr>
                <w:sz w:val="24"/>
                <w:szCs w:val="24"/>
              </w:rPr>
            </w:pPr>
            <w:r w:rsidRPr="00727AB8">
              <w:rPr>
                <w:sz w:val="24"/>
                <w:szCs w:val="24"/>
              </w:rPr>
              <w:t>AI can provide better risk insights for my company than existing systems</w:t>
            </w:r>
          </w:p>
        </w:tc>
        <w:tc>
          <w:tcPr>
            <w:tcW w:w="1507" w:type="dxa"/>
            <w:vMerge w:val="restart"/>
          </w:tcPr>
          <w:p w14:paraId="5AB45263" w14:textId="2249B3AA" w:rsidR="00100FA5" w:rsidRPr="00727AB8" w:rsidRDefault="00100FA5" w:rsidP="002A352C">
            <w:pPr>
              <w:widowControl w:val="0"/>
              <w:spacing w:before="40" w:after="40"/>
              <w:jc w:val="center"/>
              <w:rPr>
                <w:sz w:val="24"/>
                <w:szCs w:val="24"/>
              </w:rPr>
            </w:pPr>
            <w:r w:rsidRPr="00727AB8">
              <w:rPr>
                <w:sz w:val="24"/>
                <w:szCs w:val="24"/>
              </w:rPr>
              <w:t>Puklavec</w:t>
            </w:r>
            <w:r w:rsidR="00234EFA" w:rsidRPr="00727AB8">
              <w:rPr>
                <w:sz w:val="24"/>
                <w:szCs w:val="24"/>
              </w:rPr>
              <w:t xml:space="preserve"> et al.</w:t>
            </w:r>
            <w:r w:rsidRPr="00727AB8">
              <w:rPr>
                <w:sz w:val="24"/>
                <w:szCs w:val="24"/>
              </w:rPr>
              <w:t xml:space="preserve"> </w:t>
            </w:r>
            <w:r w:rsidR="00234EFA" w:rsidRPr="00727AB8">
              <w:rPr>
                <w:sz w:val="24"/>
                <w:szCs w:val="24"/>
              </w:rPr>
              <w:t>(</w:t>
            </w:r>
            <w:r w:rsidRPr="00727AB8">
              <w:rPr>
                <w:sz w:val="24"/>
                <w:szCs w:val="24"/>
              </w:rPr>
              <w:t>2018</w:t>
            </w:r>
            <w:r w:rsidR="00234EFA" w:rsidRPr="00727AB8">
              <w:rPr>
                <w:sz w:val="24"/>
                <w:szCs w:val="24"/>
              </w:rPr>
              <w:t>)</w:t>
            </w:r>
          </w:p>
          <w:p w14:paraId="52C98F62" w14:textId="0F4D2E09" w:rsidR="00100FA5" w:rsidRPr="00727AB8" w:rsidRDefault="00100FA5" w:rsidP="002A352C">
            <w:pPr>
              <w:widowControl w:val="0"/>
              <w:spacing w:before="40" w:after="40"/>
              <w:jc w:val="center"/>
              <w:rPr>
                <w:sz w:val="24"/>
                <w:szCs w:val="24"/>
              </w:rPr>
            </w:pPr>
            <w:r w:rsidRPr="00727AB8">
              <w:rPr>
                <w:sz w:val="24"/>
                <w:szCs w:val="24"/>
              </w:rPr>
              <w:lastRenderedPageBreak/>
              <w:t xml:space="preserve">Chandra and Kumar </w:t>
            </w:r>
            <w:r w:rsidR="004F5AE2" w:rsidRPr="00727AB8">
              <w:rPr>
                <w:sz w:val="24"/>
                <w:szCs w:val="24"/>
              </w:rPr>
              <w:t>(</w:t>
            </w:r>
            <w:r w:rsidRPr="00727AB8">
              <w:rPr>
                <w:sz w:val="24"/>
                <w:szCs w:val="24"/>
              </w:rPr>
              <w:t>2018</w:t>
            </w:r>
            <w:r w:rsidR="004F5AE2" w:rsidRPr="00727AB8">
              <w:rPr>
                <w:sz w:val="24"/>
                <w:szCs w:val="24"/>
              </w:rPr>
              <w:t>)</w:t>
            </w:r>
          </w:p>
        </w:tc>
      </w:tr>
      <w:tr w:rsidR="00727AB8" w:rsidRPr="00727AB8" w14:paraId="026445C6" w14:textId="77777777" w:rsidTr="002A352C">
        <w:trPr>
          <w:jc w:val="center"/>
        </w:trPr>
        <w:tc>
          <w:tcPr>
            <w:tcW w:w="1555" w:type="dxa"/>
            <w:vMerge/>
          </w:tcPr>
          <w:p w14:paraId="0ADB6621" w14:textId="77777777" w:rsidR="00100FA5" w:rsidRPr="00727AB8" w:rsidRDefault="00100FA5" w:rsidP="002A352C">
            <w:pPr>
              <w:widowControl w:val="0"/>
              <w:spacing w:before="50" w:after="50"/>
              <w:jc w:val="center"/>
              <w:rPr>
                <w:sz w:val="24"/>
                <w:szCs w:val="24"/>
              </w:rPr>
            </w:pPr>
          </w:p>
        </w:tc>
        <w:tc>
          <w:tcPr>
            <w:tcW w:w="6237" w:type="dxa"/>
          </w:tcPr>
          <w:p w14:paraId="1DE9C706" w14:textId="77777777" w:rsidR="00100FA5" w:rsidRPr="00727AB8" w:rsidRDefault="00100FA5" w:rsidP="002A352C">
            <w:pPr>
              <w:widowControl w:val="0"/>
              <w:spacing w:before="40" w:after="40"/>
              <w:jc w:val="center"/>
              <w:rPr>
                <w:sz w:val="24"/>
                <w:szCs w:val="24"/>
              </w:rPr>
            </w:pPr>
            <w:r w:rsidRPr="00727AB8">
              <w:rPr>
                <w:sz w:val="24"/>
                <w:szCs w:val="24"/>
              </w:rPr>
              <w:t>AI can provide faster results to my company</w:t>
            </w:r>
          </w:p>
        </w:tc>
        <w:tc>
          <w:tcPr>
            <w:tcW w:w="1507" w:type="dxa"/>
            <w:vMerge/>
          </w:tcPr>
          <w:p w14:paraId="2C84EC26" w14:textId="77777777" w:rsidR="00100FA5" w:rsidRPr="00727AB8" w:rsidRDefault="00100FA5" w:rsidP="002A352C">
            <w:pPr>
              <w:widowControl w:val="0"/>
              <w:spacing w:before="40" w:after="40"/>
              <w:jc w:val="center"/>
              <w:rPr>
                <w:sz w:val="24"/>
                <w:szCs w:val="24"/>
              </w:rPr>
            </w:pPr>
          </w:p>
        </w:tc>
      </w:tr>
      <w:tr w:rsidR="00727AB8" w:rsidRPr="00727AB8" w14:paraId="09E39F7B" w14:textId="77777777" w:rsidTr="002A352C">
        <w:trPr>
          <w:jc w:val="center"/>
        </w:trPr>
        <w:tc>
          <w:tcPr>
            <w:tcW w:w="1555" w:type="dxa"/>
            <w:vMerge/>
          </w:tcPr>
          <w:p w14:paraId="5BD579D8" w14:textId="77777777" w:rsidR="00100FA5" w:rsidRPr="00727AB8" w:rsidRDefault="00100FA5" w:rsidP="002A352C">
            <w:pPr>
              <w:widowControl w:val="0"/>
              <w:spacing w:before="50" w:after="50"/>
              <w:jc w:val="center"/>
              <w:rPr>
                <w:sz w:val="24"/>
                <w:szCs w:val="24"/>
              </w:rPr>
            </w:pPr>
          </w:p>
        </w:tc>
        <w:tc>
          <w:tcPr>
            <w:tcW w:w="6237" w:type="dxa"/>
          </w:tcPr>
          <w:p w14:paraId="27B0472A" w14:textId="77777777" w:rsidR="00100FA5" w:rsidRPr="00727AB8" w:rsidRDefault="00100FA5" w:rsidP="002A352C">
            <w:pPr>
              <w:widowControl w:val="0"/>
              <w:spacing w:before="40" w:after="40"/>
              <w:jc w:val="center"/>
              <w:rPr>
                <w:sz w:val="24"/>
                <w:szCs w:val="24"/>
              </w:rPr>
            </w:pPr>
            <w:r w:rsidRPr="00727AB8">
              <w:rPr>
                <w:sz w:val="24"/>
                <w:szCs w:val="24"/>
              </w:rPr>
              <w:t>AI can provide a higher ROI to my company</w:t>
            </w:r>
          </w:p>
        </w:tc>
        <w:tc>
          <w:tcPr>
            <w:tcW w:w="1507" w:type="dxa"/>
            <w:vMerge/>
          </w:tcPr>
          <w:p w14:paraId="30A6CBC2" w14:textId="77777777" w:rsidR="00100FA5" w:rsidRPr="00727AB8" w:rsidRDefault="00100FA5" w:rsidP="002A352C">
            <w:pPr>
              <w:widowControl w:val="0"/>
              <w:spacing w:before="40" w:after="40"/>
              <w:jc w:val="center"/>
              <w:rPr>
                <w:sz w:val="24"/>
                <w:szCs w:val="24"/>
              </w:rPr>
            </w:pPr>
          </w:p>
        </w:tc>
      </w:tr>
      <w:tr w:rsidR="00727AB8" w:rsidRPr="00727AB8" w14:paraId="607EB665" w14:textId="77777777" w:rsidTr="002A352C">
        <w:trPr>
          <w:jc w:val="center"/>
        </w:trPr>
        <w:tc>
          <w:tcPr>
            <w:tcW w:w="1555" w:type="dxa"/>
            <w:vMerge/>
          </w:tcPr>
          <w:p w14:paraId="7C69E887" w14:textId="77777777" w:rsidR="00100FA5" w:rsidRPr="00727AB8" w:rsidRDefault="00100FA5" w:rsidP="002A352C">
            <w:pPr>
              <w:widowControl w:val="0"/>
              <w:spacing w:before="50" w:after="50"/>
              <w:jc w:val="center"/>
              <w:rPr>
                <w:sz w:val="24"/>
                <w:szCs w:val="24"/>
              </w:rPr>
            </w:pPr>
          </w:p>
        </w:tc>
        <w:tc>
          <w:tcPr>
            <w:tcW w:w="6237" w:type="dxa"/>
          </w:tcPr>
          <w:p w14:paraId="060A81C0" w14:textId="77777777" w:rsidR="00100FA5" w:rsidRPr="00727AB8" w:rsidRDefault="00100FA5" w:rsidP="002A352C">
            <w:pPr>
              <w:widowControl w:val="0"/>
              <w:spacing w:before="40" w:after="40"/>
              <w:jc w:val="center"/>
              <w:rPr>
                <w:sz w:val="24"/>
                <w:szCs w:val="24"/>
              </w:rPr>
            </w:pPr>
            <w:r w:rsidRPr="00727AB8">
              <w:rPr>
                <w:sz w:val="24"/>
                <w:szCs w:val="24"/>
              </w:rPr>
              <w:t>AI can provide highly accurate predictive and actionable insights</w:t>
            </w:r>
          </w:p>
        </w:tc>
        <w:tc>
          <w:tcPr>
            <w:tcW w:w="1507" w:type="dxa"/>
            <w:vMerge/>
          </w:tcPr>
          <w:p w14:paraId="5C205C38" w14:textId="77777777" w:rsidR="00100FA5" w:rsidRPr="00727AB8" w:rsidRDefault="00100FA5" w:rsidP="002A352C">
            <w:pPr>
              <w:widowControl w:val="0"/>
              <w:spacing w:before="40" w:after="40"/>
              <w:jc w:val="center"/>
              <w:rPr>
                <w:sz w:val="24"/>
                <w:szCs w:val="24"/>
              </w:rPr>
            </w:pPr>
          </w:p>
        </w:tc>
      </w:tr>
      <w:tr w:rsidR="00727AB8" w:rsidRPr="00727AB8" w14:paraId="6BA8A044" w14:textId="77777777" w:rsidTr="002A352C">
        <w:trPr>
          <w:jc w:val="center"/>
        </w:trPr>
        <w:tc>
          <w:tcPr>
            <w:tcW w:w="1555" w:type="dxa"/>
            <w:vMerge w:val="restart"/>
          </w:tcPr>
          <w:p w14:paraId="782829AA" w14:textId="77777777" w:rsidR="00100FA5" w:rsidRPr="00727AB8" w:rsidRDefault="00100FA5" w:rsidP="002A352C">
            <w:pPr>
              <w:widowControl w:val="0"/>
              <w:spacing w:before="50" w:after="50"/>
              <w:jc w:val="center"/>
              <w:rPr>
                <w:sz w:val="24"/>
                <w:szCs w:val="24"/>
              </w:rPr>
            </w:pPr>
            <w:r w:rsidRPr="00727AB8">
              <w:rPr>
                <w:sz w:val="24"/>
                <w:szCs w:val="24"/>
              </w:rPr>
              <w:t>Cost of Ownership</w:t>
            </w:r>
          </w:p>
        </w:tc>
        <w:tc>
          <w:tcPr>
            <w:tcW w:w="6237" w:type="dxa"/>
          </w:tcPr>
          <w:p w14:paraId="37D34AF5" w14:textId="77777777" w:rsidR="00100FA5" w:rsidRPr="00727AB8" w:rsidRDefault="00100FA5" w:rsidP="002A352C">
            <w:pPr>
              <w:widowControl w:val="0"/>
              <w:spacing w:before="40" w:after="40"/>
              <w:jc w:val="center"/>
              <w:rPr>
                <w:sz w:val="24"/>
                <w:szCs w:val="24"/>
              </w:rPr>
            </w:pPr>
            <w:r w:rsidRPr="00727AB8">
              <w:rPr>
                <w:sz w:val="24"/>
                <w:szCs w:val="24"/>
              </w:rPr>
              <w:t>AI technology cost is high for my company</w:t>
            </w:r>
          </w:p>
        </w:tc>
        <w:tc>
          <w:tcPr>
            <w:tcW w:w="1507" w:type="dxa"/>
            <w:vMerge w:val="restart"/>
          </w:tcPr>
          <w:p w14:paraId="3FEF5792" w14:textId="5E7E83A8" w:rsidR="00100FA5" w:rsidRPr="00727AB8" w:rsidRDefault="00100FA5" w:rsidP="002A352C">
            <w:pPr>
              <w:widowControl w:val="0"/>
              <w:spacing w:before="40" w:after="40"/>
              <w:jc w:val="center"/>
              <w:rPr>
                <w:sz w:val="24"/>
                <w:szCs w:val="24"/>
              </w:rPr>
            </w:pPr>
            <w:r w:rsidRPr="00727AB8">
              <w:rPr>
                <w:sz w:val="24"/>
                <w:szCs w:val="24"/>
              </w:rPr>
              <w:t xml:space="preserve">Chan and Chong </w:t>
            </w:r>
            <w:r w:rsidR="00234EFA" w:rsidRPr="00727AB8">
              <w:rPr>
                <w:sz w:val="24"/>
                <w:szCs w:val="24"/>
              </w:rPr>
              <w:t>(</w:t>
            </w:r>
            <w:r w:rsidRPr="00727AB8">
              <w:rPr>
                <w:sz w:val="24"/>
                <w:szCs w:val="24"/>
              </w:rPr>
              <w:t>2013</w:t>
            </w:r>
            <w:r w:rsidR="00234EFA" w:rsidRPr="00727AB8">
              <w:rPr>
                <w:sz w:val="24"/>
                <w:szCs w:val="24"/>
              </w:rPr>
              <w:t>)</w:t>
            </w:r>
          </w:p>
          <w:p w14:paraId="5BFF4937" w14:textId="5BF74FC4" w:rsidR="00100FA5" w:rsidRPr="00727AB8" w:rsidRDefault="00234EFA" w:rsidP="002A352C">
            <w:pPr>
              <w:widowControl w:val="0"/>
              <w:spacing w:before="40" w:after="40"/>
              <w:jc w:val="center"/>
              <w:rPr>
                <w:sz w:val="24"/>
                <w:szCs w:val="24"/>
              </w:rPr>
            </w:pPr>
            <w:r w:rsidRPr="00727AB8">
              <w:rPr>
                <w:sz w:val="24"/>
                <w:szCs w:val="24"/>
              </w:rPr>
              <w:t>Hossain et al.</w:t>
            </w:r>
            <w:r w:rsidR="00100FA5" w:rsidRPr="00727AB8">
              <w:rPr>
                <w:sz w:val="24"/>
                <w:szCs w:val="24"/>
              </w:rPr>
              <w:t xml:space="preserve"> </w:t>
            </w:r>
            <w:r w:rsidRPr="00727AB8">
              <w:rPr>
                <w:sz w:val="24"/>
                <w:szCs w:val="24"/>
              </w:rPr>
              <w:t>(</w:t>
            </w:r>
            <w:r w:rsidR="00100FA5" w:rsidRPr="00727AB8">
              <w:rPr>
                <w:sz w:val="24"/>
                <w:szCs w:val="24"/>
              </w:rPr>
              <w:t>2016</w:t>
            </w:r>
            <w:r w:rsidRPr="00727AB8">
              <w:rPr>
                <w:sz w:val="24"/>
                <w:szCs w:val="24"/>
              </w:rPr>
              <w:t>)</w:t>
            </w:r>
          </w:p>
        </w:tc>
      </w:tr>
      <w:tr w:rsidR="00727AB8" w:rsidRPr="00727AB8" w14:paraId="403B871E" w14:textId="77777777" w:rsidTr="002A352C">
        <w:trPr>
          <w:jc w:val="center"/>
        </w:trPr>
        <w:tc>
          <w:tcPr>
            <w:tcW w:w="1555" w:type="dxa"/>
            <w:vMerge/>
          </w:tcPr>
          <w:p w14:paraId="3F193003" w14:textId="77777777" w:rsidR="00100FA5" w:rsidRPr="00727AB8" w:rsidRDefault="00100FA5" w:rsidP="002A352C">
            <w:pPr>
              <w:widowControl w:val="0"/>
              <w:spacing w:before="50" w:after="50"/>
              <w:jc w:val="center"/>
              <w:rPr>
                <w:sz w:val="24"/>
                <w:szCs w:val="24"/>
              </w:rPr>
            </w:pPr>
          </w:p>
        </w:tc>
        <w:tc>
          <w:tcPr>
            <w:tcW w:w="6237" w:type="dxa"/>
          </w:tcPr>
          <w:p w14:paraId="4453BEBA" w14:textId="77777777" w:rsidR="00100FA5" w:rsidRPr="00727AB8" w:rsidRDefault="00100FA5" w:rsidP="002A352C">
            <w:pPr>
              <w:widowControl w:val="0"/>
              <w:spacing w:before="40" w:after="40"/>
              <w:jc w:val="center"/>
              <w:rPr>
                <w:sz w:val="24"/>
                <w:szCs w:val="24"/>
              </w:rPr>
            </w:pPr>
            <w:r w:rsidRPr="00727AB8">
              <w:rPr>
                <w:sz w:val="24"/>
                <w:szCs w:val="24"/>
              </w:rPr>
              <w:t>AI integration cost is high for my company</w:t>
            </w:r>
          </w:p>
        </w:tc>
        <w:tc>
          <w:tcPr>
            <w:tcW w:w="1507" w:type="dxa"/>
            <w:vMerge/>
          </w:tcPr>
          <w:p w14:paraId="5BC8C507" w14:textId="77777777" w:rsidR="00100FA5" w:rsidRPr="00727AB8" w:rsidRDefault="00100FA5" w:rsidP="002A352C">
            <w:pPr>
              <w:widowControl w:val="0"/>
              <w:spacing w:before="40" w:after="40"/>
              <w:jc w:val="center"/>
              <w:rPr>
                <w:sz w:val="24"/>
                <w:szCs w:val="24"/>
              </w:rPr>
            </w:pPr>
          </w:p>
        </w:tc>
      </w:tr>
      <w:tr w:rsidR="00727AB8" w:rsidRPr="00727AB8" w14:paraId="3B19DF32" w14:textId="77777777" w:rsidTr="002A352C">
        <w:trPr>
          <w:jc w:val="center"/>
        </w:trPr>
        <w:tc>
          <w:tcPr>
            <w:tcW w:w="1555" w:type="dxa"/>
            <w:vMerge/>
          </w:tcPr>
          <w:p w14:paraId="46BB611D" w14:textId="77777777" w:rsidR="00100FA5" w:rsidRPr="00727AB8" w:rsidRDefault="00100FA5" w:rsidP="002A352C">
            <w:pPr>
              <w:widowControl w:val="0"/>
              <w:spacing w:before="50" w:after="50"/>
              <w:jc w:val="center"/>
              <w:rPr>
                <w:sz w:val="24"/>
                <w:szCs w:val="24"/>
              </w:rPr>
            </w:pPr>
          </w:p>
        </w:tc>
        <w:tc>
          <w:tcPr>
            <w:tcW w:w="6237" w:type="dxa"/>
          </w:tcPr>
          <w:p w14:paraId="1D897FDC" w14:textId="77777777" w:rsidR="00100FA5" w:rsidRPr="00727AB8" w:rsidRDefault="00100FA5" w:rsidP="002A352C">
            <w:pPr>
              <w:widowControl w:val="0"/>
              <w:spacing w:before="40" w:after="40"/>
              <w:jc w:val="center"/>
              <w:rPr>
                <w:sz w:val="24"/>
                <w:szCs w:val="24"/>
              </w:rPr>
            </w:pPr>
            <w:r w:rsidRPr="00727AB8">
              <w:rPr>
                <w:sz w:val="24"/>
                <w:szCs w:val="24"/>
              </w:rPr>
              <w:t>AI talent cost is high for my company</w:t>
            </w:r>
          </w:p>
        </w:tc>
        <w:tc>
          <w:tcPr>
            <w:tcW w:w="1507" w:type="dxa"/>
            <w:vMerge/>
          </w:tcPr>
          <w:p w14:paraId="3EFAEB18" w14:textId="77777777" w:rsidR="00100FA5" w:rsidRPr="00727AB8" w:rsidRDefault="00100FA5" w:rsidP="002A352C">
            <w:pPr>
              <w:widowControl w:val="0"/>
              <w:spacing w:before="40" w:after="40"/>
              <w:jc w:val="center"/>
              <w:rPr>
                <w:sz w:val="24"/>
                <w:szCs w:val="24"/>
              </w:rPr>
            </w:pPr>
          </w:p>
        </w:tc>
      </w:tr>
      <w:tr w:rsidR="00727AB8" w:rsidRPr="00727AB8" w14:paraId="5790F140" w14:textId="77777777" w:rsidTr="002A352C">
        <w:trPr>
          <w:jc w:val="center"/>
        </w:trPr>
        <w:tc>
          <w:tcPr>
            <w:tcW w:w="9299" w:type="dxa"/>
            <w:gridSpan w:val="3"/>
          </w:tcPr>
          <w:p w14:paraId="6A945515" w14:textId="77777777" w:rsidR="00100FA5" w:rsidRPr="00727AB8" w:rsidRDefault="00100FA5" w:rsidP="002A352C">
            <w:pPr>
              <w:widowControl w:val="0"/>
              <w:spacing w:before="40" w:after="40"/>
              <w:jc w:val="center"/>
              <w:rPr>
                <w:sz w:val="24"/>
                <w:szCs w:val="24"/>
              </w:rPr>
            </w:pPr>
            <w:r w:rsidRPr="00727AB8">
              <w:rPr>
                <w:b/>
                <w:bCs/>
                <w:sz w:val="24"/>
                <w:szCs w:val="24"/>
              </w:rPr>
              <w:t>Organizational Context:</w:t>
            </w:r>
          </w:p>
        </w:tc>
      </w:tr>
      <w:tr w:rsidR="00727AB8" w:rsidRPr="00727AB8" w14:paraId="24A4D909" w14:textId="77777777" w:rsidTr="002A352C">
        <w:trPr>
          <w:jc w:val="center"/>
        </w:trPr>
        <w:tc>
          <w:tcPr>
            <w:tcW w:w="1555" w:type="dxa"/>
            <w:vMerge w:val="restart"/>
          </w:tcPr>
          <w:p w14:paraId="6E84104B" w14:textId="77777777" w:rsidR="00100FA5" w:rsidRPr="00727AB8" w:rsidRDefault="00100FA5" w:rsidP="002A352C">
            <w:pPr>
              <w:widowControl w:val="0"/>
              <w:spacing w:before="50" w:after="50"/>
              <w:jc w:val="center"/>
              <w:rPr>
                <w:sz w:val="24"/>
                <w:szCs w:val="24"/>
              </w:rPr>
            </w:pPr>
            <w:bookmarkStart w:id="5" w:name="_Hlk56851288"/>
            <w:r w:rsidRPr="00727AB8">
              <w:rPr>
                <w:sz w:val="24"/>
                <w:szCs w:val="24"/>
              </w:rPr>
              <w:t>Talent</w:t>
            </w:r>
          </w:p>
        </w:tc>
        <w:tc>
          <w:tcPr>
            <w:tcW w:w="6237" w:type="dxa"/>
          </w:tcPr>
          <w:p w14:paraId="5B720A9A" w14:textId="77777777" w:rsidR="00100FA5" w:rsidRPr="00727AB8" w:rsidRDefault="00100FA5" w:rsidP="002A352C">
            <w:pPr>
              <w:widowControl w:val="0"/>
              <w:spacing w:before="40" w:after="40"/>
              <w:jc w:val="center"/>
              <w:rPr>
                <w:sz w:val="24"/>
                <w:szCs w:val="24"/>
              </w:rPr>
            </w:pPr>
            <w:r w:rsidRPr="00727AB8">
              <w:rPr>
                <w:sz w:val="24"/>
                <w:szCs w:val="24"/>
              </w:rPr>
              <w:t>My company has AI skills</w:t>
            </w:r>
          </w:p>
        </w:tc>
        <w:tc>
          <w:tcPr>
            <w:tcW w:w="1507" w:type="dxa"/>
            <w:vMerge w:val="restart"/>
          </w:tcPr>
          <w:p w14:paraId="410D8B70" w14:textId="160B5DD3" w:rsidR="00100FA5" w:rsidRPr="00727AB8" w:rsidRDefault="00234EFA" w:rsidP="002A352C">
            <w:pPr>
              <w:widowControl w:val="0"/>
              <w:spacing w:before="40" w:after="40"/>
              <w:jc w:val="center"/>
              <w:rPr>
                <w:sz w:val="24"/>
                <w:szCs w:val="24"/>
              </w:rPr>
            </w:pPr>
            <w:r w:rsidRPr="00727AB8">
              <w:rPr>
                <w:sz w:val="24"/>
                <w:szCs w:val="24"/>
              </w:rPr>
              <w:t>Jeble et al.</w:t>
            </w:r>
            <w:r w:rsidR="00100FA5" w:rsidRPr="00727AB8">
              <w:rPr>
                <w:sz w:val="24"/>
                <w:szCs w:val="24"/>
              </w:rPr>
              <w:t xml:space="preserve"> </w:t>
            </w:r>
            <w:r w:rsidRPr="00727AB8">
              <w:rPr>
                <w:sz w:val="24"/>
                <w:szCs w:val="24"/>
              </w:rPr>
              <w:t>(</w:t>
            </w:r>
            <w:r w:rsidR="00100FA5" w:rsidRPr="00727AB8">
              <w:rPr>
                <w:sz w:val="24"/>
                <w:szCs w:val="24"/>
              </w:rPr>
              <w:t>2018</w:t>
            </w:r>
            <w:r w:rsidRPr="00727AB8">
              <w:rPr>
                <w:sz w:val="24"/>
                <w:szCs w:val="24"/>
              </w:rPr>
              <w:t>)</w:t>
            </w:r>
          </w:p>
          <w:p w14:paraId="3FAB2B31" w14:textId="217EFFFF" w:rsidR="00100FA5" w:rsidRPr="00727AB8" w:rsidRDefault="00100FA5" w:rsidP="002A352C">
            <w:pPr>
              <w:widowControl w:val="0"/>
              <w:spacing w:before="40" w:after="40"/>
              <w:jc w:val="center"/>
              <w:rPr>
                <w:sz w:val="24"/>
                <w:szCs w:val="24"/>
              </w:rPr>
            </w:pPr>
            <w:r w:rsidRPr="00727AB8">
              <w:rPr>
                <w:sz w:val="24"/>
                <w:szCs w:val="24"/>
              </w:rPr>
              <w:t>Brock</w:t>
            </w:r>
            <w:r w:rsidR="00234EFA" w:rsidRPr="00727AB8">
              <w:rPr>
                <w:sz w:val="24"/>
                <w:szCs w:val="24"/>
              </w:rPr>
              <w:t xml:space="preserve"> and Wangenheim</w:t>
            </w:r>
            <w:r w:rsidRPr="00727AB8">
              <w:rPr>
                <w:sz w:val="24"/>
                <w:szCs w:val="24"/>
              </w:rPr>
              <w:t xml:space="preserve"> </w:t>
            </w:r>
            <w:r w:rsidR="00234EFA" w:rsidRPr="00727AB8">
              <w:rPr>
                <w:sz w:val="24"/>
                <w:szCs w:val="24"/>
              </w:rPr>
              <w:t>(</w:t>
            </w:r>
            <w:r w:rsidRPr="00727AB8">
              <w:rPr>
                <w:sz w:val="24"/>
                <w:szCs w:val="24"/>
              </w:rPr>
              <w:t>2019</w:t>
            </w:r>
            <w:r w:rsidR="00234EFA" w:rsidRPr="00727AB8">
              <w:rPr>
                <w:sz w:val="24"/>
                <w:szCs w:val="24"/>
              </w:rPr>
              <w:t>)</w:t>
            </w:r>
          </w:p>
        </w:tc>
      </w:tr>
      <w:tr w:rsidR="00727AB8" w:rsidRPr="00727AB8" w14:paraId="07B2D9EB" w14:textId="77777777" w:rsidTr="002A352C">
        <w:trPr>
          <w:jc w:val="center"/>
        </w:trPr>
        <w:tc>
          <w:tcPr>
            <w:tcW w:w="1555" w:type="dxa"/>
            <w:vMerge/>
          </w:tcPr>
          <w:p w14:paraId="6326E6C3" w14:textId="77777777" w:rsidR="00100FA5" w:rsidRPr="00727AB8" w:rsidRDefault="00100FA5" w:rsidP="002A352C">
            <w:pPr>
              <w:widowControl w:val="0"/>
              <w:spacing w:before="50" w:after="50"/>
              <w:jc w:val="center"/>
              <w:rPr>
                <w:sz w:val="24"/>
                <w:szCs w:val="24"/>
              </w:rPr>
            </w:pPr>
          </w:p>
        </w:tc>
        <w:tc>
          <w:tcPr>
            <w:tcW w:w="6237" w:type="dxa"/>
          </w:tcPr>
          <w:p w14:paraId="666FC564" w14:textId="77777777" w:rsidR="00100FA5" w:rsidRPr="00727AB8" w:rsidRDefault="00100FA5" w:rsidP="002A352C">
            <w:pPr>
              <w:widowControl w:val="0"/>
              <w:spacing w:before="40" w:after="40"/>
              <w:jc w:val="center"/>
              <w:rPr>
                <w:sz w:val="24"/>
                <w:szCs w:val="24"/>
              </w:rPr>
            </w:pPr>
            <w:r w:rsidRPr="00727AB8">
              <w:rPr>
                <w:sz w:val="24"/>
                <w:szCs w:val="24"/>
              </w:rPr>
              <w:t>My company knows whom to partner with to implement AI solutions</w:t>
            </w:r>
          </w:p>
        </w:tc>
        <w:tc>
          <w:tcPr>
            <w:tcW w:w="1507" w:type="dxa"/>
            <w:vMerge/>
          </w:tcPr>
          <w:p w14:paraId="68F48583" w14:textId="77777777" w:rsidR="00100FA5" w:rsidRPr="00727AB8" w:rsidRDefault="00100FA5" w:rsidP="002A352C">
            <w:pPr>
              <w:widowControl w:val="0"/>
              <w:spacing w:before="40" w:after="40"/>
              <w:jc w:val="center"/>
              <w:rPr>
                <w:sz w:val="24"/>
                <w:szCs w:val="24"/>
              </w:rPr>
            </w:pPr>
          </w:p>
        </w:tc>
      </w:tr>
      <w:tr w:rsidR="00727AB8" w:rsidRPr="00727AB8" w14:paraId="1767C4CC" w14:textId="77777777" w:rsidTr="002A352C">
        <w:trPr>
          <w:jc w:val="center"/>
        </w:trPr>
        <w:tc>
          <w:tcPr>
            <w:tcW w:w="1555" w:type="dxa"/>
            <w:vMerge/>
          </w:tcPr>
          <w:p w14:paraId="735ED25A" w14:textId="77777777" w:rsidR="00100FA5" w:rsidRPr="00727AB8" w:rsidRDefault="00100FA5" w:rsidP="002A352C">
            <w:pPr>
              <w:widowControl w:val="0"/>
              <w:spacing w:before="50" w:after="50"/>
              <w:jc w:val="center"/>
              <w:rPr>
                <w:sz w:val="24"/>
                <w:szCs w:val="24"/>
              </w:rPr>
            </w:pPr>
          </w:p>
        </w:tc>
        <w:tc>
          <w:tcPr>
            <w:tcW w:w="6237" w:type="dxa"/>
          </w:tcPr>
          <w:p w14:paraId="17B8B990" w14:textId="77777777" w:rsidR="00100FA5" w:rsidRPr="00727AB8" w:rsidRDefault="00100FA5" w:rsidP="002A352C">
            <w:pPr>
              <w:widowControl w:val="0"/>
              <w:spacing w:before="40" w:after="40"/>
              <w:jc w:val="center"/>
              <w:rPr>
                <w:sz w:val="24"/>
                <w:szCs w:val="24"/>
              </w:rPr>
            </w:pPr>
            <w:r w:rsidRPr="00727AB8">
              <w:rPr>
                <w:sz w:val="24"/>
                <w:szCs w:val="24"/>
              </w:rPr>
              <w:t>My company has budgets to hire AI professionals</w:t>
            </w:r>
          </w:p>
        </w:tc>
        <w:tc>
          <w:tcPr>
            <w:tcW w:w="1507" w:type="dxa"/>
            <w:vMerge/>
          </w:tcPr>
          <w:p w14:paraId="24B38E53" w14:textId="77777777" w:rsidR="00100FA5" w:rsidRPr="00727AB8" w:rsidRDefault="00100FA5" w:rsidP="002A352C">
            <w:pPr>
              <w:widowControl w:val="0"/>
              <w:spacing w:before="40" w:after="40"/>
              <w:jc w:val="center"/>
              <w:rPr>
                <w:sz w:val="24"/>
                <w:szCs w:val="24"/>
              </w:rPr>
            </w:pPr>
          </w:p>
        </w:tc>
      </w:tr>
      <w:tr w:rsidR="00727AB8" w:rsidRPr="00727AB8" w14:paraId="59F0CC91" w14:textId="77777777" w:rsidTr="002A352C">
        <w:trPr>
          <w:jc w:val="center"/>
        </w:trPr>
        <w:tc>
          <w:tcPr>
            <w:tcW w:w="1555" w:type="dxa"/>
            <w:vMerge w:val="restart"/>
          </w:tcPr>
          <w:p w14:paraId="02F573E5" w14:textId="77777777" w:rsidR="00100FA5" w:rsidRPr="00727AB8" w:rsidRDefault="00100FA5" w:rsidP="002A352C">
            <w:pPr>
              <w:widowControl w:val="0"/>
              <w:spacing w:before="50" w:after="50"/>
              <w:jc w:val="center"/>
              <w:rPr>
                <w:sz w:val="24"/>
                <w:szCs w:val="24"/>
              </w:rPr>
            </w:pPr>
            <w:r w:rsidRPr="00727AB8">
              <w:rPr>
                <w:sz w:val="24"/>
                <w:szCs w:val="24"/>
              </w:rPr>
              <w:t>Top Management Support</w:t>
            </w:r>
          </w:p>
        </w:tc>
        <w:tc>
          <w:tcPr>
            <w:tcW w:w="6237" w:type="dxa"/>
          </w:tcPr>
          <w:p w14:paraId="1D6BCAFF" w14:textId="77777777" w:rsidR="00100FA5" w:rsidRPr="00727AB8" w:rsidRDefault="00100FA5" w:rsidP="002A352C">
            <w:pPr>
              <w:widowControl w:val="0"/>
              <w:spacing w:before="40" w:after="40"/>
              <w:jc w:val="center"/>
              <w:rPr>
                <w:sz w:val="24"/>
                <w:szCs w:val="24"/>
              </w:rPr>
            </w:pPr>
            <w:r w:rsidRPr="00727AB8">
              <w:rPr>
                <w:sz w:val="24"/>
                <w:szCs w:val="24"/>
              </w:rPr>
              <w:t>The top management promotes AI as a strategic priority in my company</w:t>
            </w:r>
          </w:p>
        </w:tc>
        <w:tc>
          <w:tcPr>
            <w:tcW w:w="1507" w:type="dxa"/>
            <w:vMerge w:val="restart"/>
          </w:tcPr>
          <w:p w14:paraId="4B5751F5" w14:textId="06E8ABB4" w:rsidR="00100FA5" w:rsidRPr="00727AB8" w:rsidRDefault="00100FA5" w:rsidP="002A352C">
            <w:pPr>
              <w:widowControl w:val="0"/>
              <w:spacing w:before="40" w:after="40"/>
              <w:jc w:val="center"/>
              <w:rPr>
                <w:sz w:val="24"/>
                <w:szCs w:val="24"/>
              </w:rPr>
            </w:pPr>
            <w:r w:rsidRPr="00727AB8">
              <w:rPr>
                <w:sz w:val="24"/>
                <w:szCs w:val="24"/>
              </w:rPr>
              <w:t>Jeble</w:t>
            </w:r>
            <w:r w:rsidR="00B261AD" w:rsidRPr="00727AB8">
              <w:rPr>
                <w:sz w:val="24"/>
                <w:szCs w:val="24"/>
              </w:rPr>
              <w:t xml:space="preserve"> et al.</w:t>
            </w:r>
            <w:r w:rsidRPr="00727AB8">
              <w:rPr>
                <w:sz w:val="24"/>
                <w:szCs w:val="24"/>
              </w:rPr>
              <w:t xml:space="preserve"> </w:t>
            </w:r>
            <w:r w:rsidR="00B261AD" w:rsidRPr="00727AB8">
              <w:rPr>
                <w:sz w:val="24"/>
                <w:szCs w:val="24"/>
              </w:rPr>
              <w:t>(</w:t>
            </w:r>
            <w:r w:rsidRPr="00727AB8">
              <w:rPr>
                <w:sz w:val="24"/>
                <w:szCs w:val="24"/>
              </w:rPr>
              <w:t>2018</w:t>
            </w:r>
            <w:r w:rsidR="00B261AD" w:rsidRPr="00727AB8">
              <w:rPr>
                <w:sz w:val="24"/>
                <w:szCs w:val="24"/>
              </w:rPr>
              <w:t>)</w:t>
            </w:r>
          </w:p>
          <w:p w14:paraId="6FF0131F" w14:textId="4513D13E" w:rsidR="00100FA5" w:rsidRPr="00727AB8" w:rsidRDefault="00B261AD" w:rsidP="002A352C">
            <w:pPr>
              <w:widowControl w:val="0"/>
              <w:spacing w:before="40" w:after="40"/>
              <w:jc w:val="center"/>
              <w:rPr>
                <w:sz w:val="24"/>
                <w:szCs w:val="24"/>
              </w:rPr>
            </w:pPr>
            <w:r w:rsidRPr="00727AB8">
              <w:rPr>
                <w:sz w:val="24"/>
                <w:szCs w:val="24"/>
              </w:rPr>
              <w:t>Lai et al.</w:t>
            </w:r>
            <w:r w:rsidR="00100FA5" w:rsidRPr="00727AB8">
              <w:rPr>
                <w:sz w:val="24"/>
                <w:szCs w:val="24"/>
              </w:rPr>
              <w:t xml:space="preserve"> </w:t>
            </w:r>
            <w:r w:rsidRPr="00727AB8">
              <w:rPr>
                <w:sz w:val="24"/>
                <w:szCs w:val="24"/>
              </w:rPr>
              <w:t>(</w:t>
            </w:r>
            <w:r w:rsidR="00100FA5" w:rsidRPr="00727AB8">
              <w:rPr>
                <w:sz w:val="24"/>
                <w:szCs w:val="24"/>
              </w:rPr>
              <w:t>2018</w:t>
            </w:r>
            <w:r w:rsidRPr="00727AB8">
              <w:rPr>
                <w:sz w:val="24"/>
                <w:szCs w:val="24"/>
              </w:rPr>
              <w:t>)</w:t>
            </w:r>
          </w:p>
          <w:p w14:paraId="681A7469" w14:textId="368E5757" w:rsidR="00100FA5" w:rsidRPr="00727AB8" w:rsidRDefault="00100FA5" w:rsidP="002A352C">
            <w:pPr>
              <w:widowControl w:val="0"/>
              <w:spacing w:before="40" w:after="40"/>
              <w:jc w:val="center"/>
              <w:rPr>
                <w:sz w:val="24"/>
                <w:szCs w:val="24"/>
              </w:rPr>
            </w:pPr>
            <w:r w:rsidRPr="00727AB8">
              <w:rPr>
                <w:sz w:val="24"/>
                <w:szCs w:val="24"/>
              </w:rPr>
              <w:t>Chen</w:t>
            </w:r>
            <w:r w:rsidR="005F527F" w:rsidRPr="00727AB8">
              <w:rPr>
                <w:sz w:val="24"/>
                <w:szCs w:val="24"/>
              </w:rPr>
              <w:t xml:space="preserve"> et al.</w:t>
            </w:r>
            <w:r w:rsidRPr="00727AB8">
              <w:rPr>
                <w:sz w:val="24"/>
                <w:szCs w:val="24"/>
              </w:rPr>
              <w:t xml:space="preserve"> </w:t>
            </w:r>
            <w:r w:rsidR="005F527F" w:rsidRPr="00727AB8">
              <w:rPr>
                <w:sz w:val="24"/>
                <w:szCs w:val="24"/>
              </w:rPr>
              <w:t>(</w:t>
            </w:r>
            <w:r w:rsidRPr="00727AB8">
              <w:rPr>
                <w:sz w:val="24"/>
                <w:szCs w:val="24"/>
              </w:rPr>
              <w:t>2015</w:t>
            </w:r>
            <w:r w:rsidR="005F527F" w:rsidRPr="00727AB8">
              <w:rPr>
                <w:sz w:val="24"/>
                <w:szCs w:val="24"/>
              </w:rPr>
              <w:t>)</w:t>
            </w:r>
          </w:p>
        </w:tc>
      </w:tr>
      <w:tr w:rsidR="00727AB8" w:rsidRPr="00727AB8" w14:paraId="32012CF2" w14:textId="77777777" w:rsidTr="002A352C">
        <w:trPr>
          <w:jc w:val="center"/>
        </w:trPr>
        <w:tc>
          <w:tcPr>
            <w:tcW w:w="1555" w:type="dxa"/>
            <w:vMerge/>
          </w:tcPr>
          <w:p w14:paraId="05E4AA26" w14:textId="77777777" w:rsidR="00100FA5" w:rsidRPr="00727AB8" w:rsidRDefault="00100FA5" w:rsidP="002A352C">
            <w:pPr>
              <w:widowControl w:val="0"/>
              <w:spacing w:before="50" w:after="50"/>
              <w:jc w:val="center"/>
              <w:rPr>
                <w:sz w:val="24"/>
                <w:szCs w:val="24"/>
              </w:rPr>
            </w:pPr>
          </w:p>
        </w:tc>
        <w:tc>
          <w:tcPr>
            <w:tcW w:w="6237" w:type="dxa"/>
          </w:tcPr>
          <w:p w14:paraId="3060349E" w14:textId="77777777" w:rsidR="00100FA5" w:rsidRPr="00727AB8" w:rsidRDefault="00100FA5" w:rsidP="002A352C">
            <w:pPr>
              <w:widowControl w:val="0"/>
              <w:spacing w:before="40" w:after="40"/>
              <w:jc w:val="center"/>
              <w:rPr>
                <w:sz w:val="24"/>
                <w:szCs w:val="24"/>
              </w:rPr>
            </w:pPr>
            <w:r w:rsidRPr="00727AB8">
              <w:rPr>
                <w:sz w:val="24"/>
                <w:szCs w:val="24"/>
              </w:rPr>
              <w:t>The top management invests in AI solutions</w:t>
            </w:r>
          </w:p>
        </w:tc>
        <w:tc>
          <w:tcPr>
            <w:tcW w:w="1507" w:type="dxa"/>
            <w:vMerge/>
          </w:tcPr>
          <w:p w14:paraId="75CF6FCE" w14:textId="77777777" w:rsidR="00100FA5" w:rsidRPr="00727AB8" w:rsidRDefault="00100FA5" w:rsidP="002A352C">
            <w:pPr>
              <w:widowControl w:val="0"/>
              <w:spacing w:before="40" w:after="40"/>
              <w:jc w:val="center"/>
              <w:rPr>
                <w:sz w:val="24"/>
                <w:szCs w:val="24"/>
              </w:rPr>
            </w:pPr>
          </w:p>
        </w:tc>
      </w:tr>
      <w:tr w:rsidR="00727AB8" w:rsidRPr="00727AB8" w14:paraId="654909B6" w14:textId="77777777" w:rsidTr="002A352C">
        <w:trPr>
          <w:jc w:val="center"/>
        </w:trPr>
        <w:tc>
          <w:tcPr>
            <w:tcW w:w="1555" w:type="dxa"/>
            <w:vMerge/>
          </w:tcPr>
          <w:p w14:paraId="7226042C" w14:textId="77777777" w:rsidR="00100FA5" w:rsidRPr="00727AB8" w:rsidRDefault="00100FA5" w:rsidP="002A352C">
            <w:pPr>
              <w:widowControl w:val="0"/>
              <w:spacing w:before="50" w:after="50"/>
              <w:jc w:val="center"/>
              <w:rPr>
                <w:sz w:val="24"/>
                <w:szCs w:val="24"/>
              </w:rPr>
            </w:pPr>
          </w:p>
        </w:tc>
        <w:tc>
          <w:tcPr>
            <w:tcW w:w="6237" w:type="dxa"/>
          </w:tcPr>
          <w:p w14:paraId="377AF808" w14:textId="77777777" w:rsidR="00100FA5" w:rsidRPr="00727AB8" w:rsidRDefault="00100FA5" w:rsidP="002A352C">
            <w:pPr>
              <w:widowControl w:val="0"/>
              <w:spacing w:before="40" w:after="40"/>
              <w:jc w:val="center"/>
              <w:rPr>
                <w:sz w:val="24"/>
                <w:szCs w:val="24"/>
              </w:rPr>
            </w:pPr>
            <w:r w:rsidRPr="00727AB8">
              <w:rPr>
                <w:sz w:val="24"/>
                <w:szCs w:val="24"/>
              </w:rPr>
              <w:t>The top management is keen to experiment with new AI techniques</w:t>
            </w:r>
          </w:p>
        </w:tc>
        <w:tc>
          <w:tcPr>
            <w:tcW w:w="1507" w:type="dxa"/>
            <w:vMerge/>
          </w:tcPr>
          <w:p w14:paraId="038A220D" w14:textId="77777777" w:rsidR="00100FA5" w:rsidRPr="00727AB8" w:rsidRDefault="00100FA5" w:rsidP="002A352C">
            <w:pPr>
              <w:widowControl w:val="0"/>
              <w:spacing w:before="40" w:after="40"/>
              <w:jc w:val="center"/>
              <w:rPr>
                <w:sz w:val="24"/>
                <w:szCs w:val="24"/>
              </w:rPr>
            </w:pPr>
          </w:p>
        </w:tc>
      </w:tr>
      <w:tr w:rsidR="00727AB8" w:rsidRPr="00727AB8" w14:paraId="3E7BC956" w14:textId="77777777" w:rsidTr="002A352C">
        <w:trPr>
          <w:jc w:val="center"/>
        </w:trPr>
        <w:tc>
          <w:tcPr>
            <w:tcW w:w="1555" w:type="dxa"/>
            <w:vMerge w:val="restart"/>
          </w:tcPr>
          <w:p w14:paraId="3E0685C6" w14:textId="77777777" w:rsidR="00100FA5" w:rsidRPr="00727AB8" w:rsidRDefault="00100FA5" w:rsidP="002A352C">
            <w:pPr>
              <w:widowControl w:val="0"/>
              <w:spacing w:before="50" w:after="50"/>
              <w:jc w:val="center"/>
              <w:rPr>
                <w:sz w:val="24"/>
                <w:szCs w:val="24"/>
              </w:rPr>
            </w:pPr>
            <w:r w:rsidRPr="00727AB8">
              <w:rPr>
                <w:sz w:val="24"/>
                <w:szCs w:val="24"/>
              </w:rPr>
              <w:t>ERM Alignment</w:t>
            </w:r>
          </w:p>
        </w:tc>
        <w:tc>
          <w:tcPr>
            <w:tcW w:w="6237" w:type="dxa"/>
          </w:tcPr>
          <w:p w14:paraId="1B46E409" w14:textId="5C53D3B2" w:rsidR="00100FA5" w:rsidRPr="00727AB8" w:rsidRDefault="00100FA5" w:rsidP="002A352C">
            <w:pPr>
              <w:widowControl w:val="0"/>
              <w:spacing w:before="40" w:after="40"/>
              <w:jc w:val="center"/>
              <w:rPr>
                <w:sz w:val="24"/>
                <w:szCs w:val="24"/>
              </w:rPr>
            </w:pPr>
            <w:r w:rsidRPr="00727AB8">
              <w:rPr>
                <w:sz w:val="24"/>
                <w:szCs w:val="24"/>
              </w:rPr>
              <w:t>The use of AI i</w:t>
            </w:r>
            <w:r w:rsidR="00DA78E8" w:rsidRPr="00727AB8">
              <w:rPr>
                <w:sz w:val="24"/>
                <w:szCs w:val="24"/>
              </w:rPr>
              <w:t>n SCRM complies with my company’</w:t>
            </w:r>
            <w:r w:rsidRPr="00727AB8">
              <w:rPr>
                <w:sz w:val="24"/>
                <w:szCs w:val="24"/>
              </w:rPr>
              <w:t>s enterprise risk management policies and procedures</w:t>
            </w:r>
          </w:p>
        </w:tc>
        <w:tc>
          <w:tcPr>
            <w:tcW w:w="1507" w:type="dxa"/>
            <w:vMerge w:val="restart"/>
          </w:tcPr>
          <w:p w14:paraId="09A6DE5A" w14:textId="71773CED" w:rsidR="00100FA5" w:rsidRPr="00727AB8" w:rsidRDefault="00100FA5" w:rsidP="002A352C">
            <w:pPr>
              <w:widowControl w:val="0"/>
              <w:spacing w:before="40" w:after="40"/>
              <w:jc w:val="center"/>
              <w:rPr>
                <w:sz w:val="24"/>
                <w:szCs w:val="24"/>
              </w:rPr>
            </w:pPr>
            <w:r w:rsidRPr="00727AB8">
              <w:rPr>
                <w:sz w:val="24"/>
                <w:szCs w:val="24"/>
              </w:rPr>
              <w:t>Curkovic et al</w:t>
            </w:r>
            <w:r w:rsidRPr="00727AB8">
              <w:rPr>
                <w:i/>
                <w:iCs/>
                <w:sz w:val="24"/>
                <w:szCs w:val="24"/>
              </w:rPr>
              <w:t>.</w:t>
            </w:r>
            <w:r w:rsidRPr="00727AB8">
              <w:rPr>
                <w:sz w:val="24"/>
                <w:szCs w:val="24"/>
              </w:rPr>
              <w:t xml:space="preserve"> </w:t>
            </w:r>
            <w:r w:rsidR="00F30253" w:rsidRPr="00727AB8">
              <w:rPr>
                <w:sz w:val="24"/>
                <w:szCs w:val="24"/>
              </w:rPr>
              <w:t>(</w:t>
            </w:r>
            <w:r w:rsidRPr="00727AB8">
              <w:rPr>
                <w:sz w:val="24"/>
                <w:szCs w:val="24"/>
              </w:rPr>
              <w:t>2013</w:t>
            </w:r>
            <w:r w:rsidR="00F30253" w:rsidRPr="00727AB8">
              <w:rPr>
                <w:sz w:val="24"/>
                <w:szCs w:val="24"/>
              </w:rPr>
              <w:t>)</w:t>
            </w:r>
          </w:p>
          <w:p w14:paraId="61ACD532" w14:textId="77777777" w:rsidR="00100FA5" w:rsidRPr="00727AB8" w:rsidRDefault="00100FA5" w:rsidP="002A352C">
            <w:pPr>
              <w:widowControl w:val="0"/>
              <w:spacing w:before="40" w:after="40"/>
              <w:jc w:val="center"/>
              <w:rPr>
                <w:sz w:val="24"/>
                <w:szCs w:val="24"/>
              </w:rPr>
            </w:pPr>
            <w:r w:rsidRPr="00727AB8">
              <w:rPr>
                <w:sz w:val="24"/>
                <w:szCs w:val="24"/>
              </w:rPr>
              <w:t>Inputs from Industry SMEs</w:t>
            </w:r>
          </w:p>
        </w:tc>
      </w:tr>
      <w:tr w:rsidR="00727AB8" w:rsidRPr="00727AB8" w14:paraId="485D25F5" w14:textId="77777777" w:rsidTr="002A352C">
        <w:trPr>
          <w:jc w:val="center"/>
        </w:trPr>
        <w:tc>
          <w:tcPr>
            <w:tcW w:w="1555" w:type="dxa"/>
            <w:vMerge/>
          </w:tcPr>
          <w:p w14:paraId="2DE7D0D8" w14:textId="77777777" w:rsidR="00100FA5" w:rsidRPr="00727AB8" w:rsidRDefault="00100FA5" w:rsidP="002A352C">
            <w:pPr>
              <w:widowControl w:val="0"/>
              <w:spacing w:before="50" w:after="50"/>
              <w:jc w:val="center"/>
              <w:rPr>
                <w:sz w:val="24"/>
                <w:szCs w:val="24"/>
              </w:rPr>
            </w:pPr>
          </w:p>
        </w:tc>
        <w:tc>
          <w:tcPr>
            <w:tcW w:w="6237" w:type="dxa"/>
          </w:tcPr>
          <w:p w14:paraId="3143B7D3" w14:textId="77777777" w:rsidR="00100FA5" w:rsidRPr="00727AB8" w:rsidRDefault="00100FA5" w:rsidP="002A352C">
            <w:pPr>
              <w:widowControl w:val="0"/>
              <w:spacing w:before="40" w:after="40"/>
              <w:jc w:val="center"/>
              <w:rPr>
                <w:sz w:val="24"/>
                <w:szCs w:val="24"/>
              </w:rPr>
            </w:pPr>
            <w:r w:rsidRPr="00727AB8">
              <w:rPr>
                <w:sz w:val="24"/>
                <w:szCs w:val="24"/>
              </w:rPr>
              <w:t>AI systems in SCRM are integrated with enterprise risk management systems in my company</w:t>
            </w:r>
          </w:p>
        </w:tc>
        <w:tc>
          <w:tcPr>
            <w:tcW w:w="1507" w:type="dxa"/>
            <w:vMerge/>
          </w:tcPr>
          <w:p w14:paraId="0DEFECD3" w14:textId="77777777" w:rsidR="00100FA5" w:rsidRPr="00727AB8" w:rsidRDefault="00100FA5" w:rsidP="002A352C">
            <w:pPr>
              <w:widowControl w:val="0"/>
              <w:spacing w:before="40" w:after="40"/>
              <w:jc w:val="center"/>
              <w:rPr>
                <w:sz w:val="24"/>
                <w:szCs w:val="24"/>
              </w:rPr>
            </w:pPr>
          </w:p>
        </w:tc>
      </w:tr>
      <w:tr w:rsidR="00727AB8" w:rsidRPr="00727AB8" w14:paraId="4D67A5FB" w14:textId="77777777" w:rsidTr="002A352C">
        <w:trPr>
          <w:jc w:val="center"/>
        </w:trPr>
        <w:tc>
          <w:tcPr>
            <w:tcW w:w="1555" w:type="dxa"/>
            <w:vMerge/>
          </w:tcPr>
          <w:p w14:paraId="3885F089" w14:textId="77777777" w:rsidR="00100FA5" w:rsidRPr="00727AB8" w:rsidRDefault="00100FA5" w:rsidP="002A352C">
            <w:pPr>
              <w:widowControl w:val="0"/>
              <w:spacing w:before="50" w:after="50"/>
              <w:jc w:val="center"/>
              <w:rPr>
                <w:sz w:val="24"/>
                <w:szCs w:val="24"/>
              </w:rPr>
            </w:pPr>
          </w:p>
        </w:tc>
        <w:tc>
          <w:tcPr>
            <w:tcW w:w="6237" w:type="dxa"/>
          </w:tcPr>
          <w:p w14:paraId="05698B05" w14:textId="77777777" w:rsidR="00100FA5" w:rsidRPr="00727AB8" w:rsidRDefault="00100FA5" w:rsidP="002A352C">
            <w:pPr>
              <w:widowControl w:val="0"/>
              <w:spacing w:before="40" w:after="40"/>
              <w:jc w:val="center"/>
              <w:rPr>
                <w:sz w:val="24"/>
                <w:szCs w:val="24"/>
              </w:rPr>
            </w:pPr>
            <w:r w:rsidRPr="00727AB8">
              <w:rPr>
                <w:sz w:val="24"/>
                <w:szCs w:val="24"/>
              </w:rPr>
              <w:t>AI-based decisions are reviewed by enterprise risk professionals in my company</w:t>
            </w:r>
          </w:p>
        </w:tc>
        <w:tc>
          <w:tcPr>
            <w:tcW w:w="1507" w:type="dxa"/>
            <w:vMerge/>
          </w:tcPr>
          <w:p w14:paraId="3D06EABA" w14:textId="77777777" w:rsidR="00100FA5" w:rsidRPr="00727AB8" w:rsidRDefault="00100FA5" w:rsidP="002A352C">
            <w:pPr>
              <w:widowControl w:val="0"/>
              <w:spacing w:before="40" w:after="40"/>
              <w:jc w:val="center"/>
              <w:rPr>
                <w:sz w:val="24"/>
                <w:szCs w:val="24"/>
              </w:rPr>
            </w:pPr>
          </w:p>
        </w:tc>
      </w:tr>
      <w:bookmarkEnd w:id="5"/>
      <w:tr w:rsidR="00727AB8" w:rsidRPr="00727AB8" w14:paraId="205AF2E4" w14:textId="77777777" w:rsidTr="002A352C">
        <w:trPr>
          <w:jc w:val="center"/>
        </w:trPr>
        <w:tc>
          <w:tcPr>
            <w:tcW w:w="1555" w:type="dxa"/>
            <w:vMerge/>
          </w:tcPr>
          <w:p w14:paraId="1C5761CE" w14:textId="77777777" w:rsidR="00100FA5" w:rsidRPr="00727AB8" w:rsidRDefault="00100FA5" w:rsidP="002A352C">
            <w:pPr>
              <w:widowControl w:val="0"/>
              <w:spacing w:before="50" w:after="50"/>
              <w:jc w:val="center"/>
              <w:rPr>
                <w:sz w:val="24"/>
                <w:szCs w:val="24"/>
              </w:rPr>
            </w:pPr>
          </w:p>
        </w:tc>
        <w:tc>
          <w:tcPr>
            <w:tcW w:w="6237" w:type="dxa"/>
          </w:tcPr>
          <w:p w14:paraId="5F4FEA96" w14:textId="77777777" w:rsidR="00100FA5" w:rsidRPr="00727AB8" w:rsidRDefault="00100FA5" w:rsidP="002A352C">
            <w:pPr>
              <w:widowControl w:val="0"/>
              <w:spacing w:before="40" w:after="40"/>
              <w:jc w:val="center"/>
              <w:rPr>
                <w:sz w:val="24"/>
                <w:szCs w:val="24"/>
              </w:rPr>
            </w:pPr>
            <w:r w:rsidRPr="00727AB8">
              <w:rPr>
                <w:sz w:val="24"/>
                <w:szCs w:val="24"/>
              </w:rPr>
              <w:t>Risk management professionals use the insights from AI systems for decision making in my company</w:t>
            </w:r>
          </w:p>
        </w:tc>
        <w:tc>
          <w:tcPr>
            <w:tcW w:w="1507" w:type="dxa"/>
            <w:vMerge/>
          </w:tcPr>
          <w:p w14:paraId="17E752AA" w14:textId="77777777" w:rsidR="00100FA5" w:rsidRPr="00727AB8" w:rsidRDefault="00100FA5" w:rsidP="002A352C">
            <w:pPr>
              <w:widowControl w:val="0"/>
              <w:spacing w:before="40" w:after="40"/>
              <w:jc w:val="center"/>
              <w:rPr>
                <w:sz w:val="24"/>
                <w:szCs w:val="24"/>
              </w:rPr>
            </w:pPr>
          </w:p>
        </w:tc>
      </w:tr>
      <w:tr w:rsidR="00727AB8" w:rsidRPr="00727AB8" w14:paraId="0B97F954" w14:textId="77777777" w:rsidTr="002A352C">
        <w:trPr>
          <w:jc w:val="center"/>
        </w:trPr>
        <w:tc>
          <w:tcPr>
            <w:tcW w:w="9299" w:type="dxa"/>
            <w:gridSpan w:val="3"/>
          </w:tcPr>
          <w:p w14:paraId="5C24D1F8" w14:textId="77777777" w:rsidR="00100FA5" w:rsidRPr="00727AB8" w:rsidRDefault="00100FA5" w:rsidP="002A352C">
            <w:pPr>
              <w:widowControl w:val="0"/>
              <w:spacing w:before="40" w:after="40"/>
              <w:jc w:val="center"/>
              <w:rPr>
                <w:sz w:val="24"/>
                <w:szCs w:val="24"/>
              </w:rPr>
            </w:pPr>
            <w:r w:rsidRPr="00727AB8">
              <w:rPr>
                <w:b/>
                <w:bCs/>
                <w:sz w:val="24"/>
                <w:szCs w:val="24"/>
              </w:rPr>
              <w:t>Environmental Context:</w:t>
            </w:r>
          </w:p>
        </w:tc>
      </w:tr>
      <w:tr w:rsidR="00727AB8" w:rsidRPr="00727AB8" w14:paraId="3462C34A" w14:textId="77777777" w:rsidTr="002A352C">
        <w:trPr>
          <w:jc w:val="center"/>
        </w:trPr>
        <w:tc>
          <w:tcPr>
            <w:tcW w:w="1555" w:type="dxa"/>
            <w:vMerge w:val="restart"/>
          </w:tcPr>
          <w:p w14:paraId="6044C403" w14:textId="77777777" w:rsidR="00100FA5" w:rsidRPr="00727AB8" w:rsidRDefault="00100FA5" w:rsidP="002A352C">
            <w:pPr>
              <w:widowControl w:val="0"/>
              <w:spacing w:before="50" w:after="50"/>
              <w:jc w:val="center"/>
              <w:rPr>
                <w:sz w:val="24"/>
                <w:szCs w:val="24"/>
              </w:rPr>
            </w:pPr>
            <w:r w:rsidRPr="00727AB8">
              <w:rPr>
                <w:sz w:val="24"/>
                <w:szCs w:val="24"/>
              </w:rPr>
              <w:t>External Pressure</w:t>
            </w:r>
          </w:p>
        </w:tc>
        <w:tc>
          <w:tcPr>
            <w:tcW w:w="6237" w:type="dxa"/>
          </w:tcPr>
          <w:p w14:paraId="49207F48" w14:textId="77777777" w:rsidR="00100FA5" w:rsidRPr="00727AB8" w:rsidRDefault="00100FA5" w:rsidP="002A352C">
            <w:pPr>
              <w:widowControl w:val="0"/>
              <w:spacing w:before="40" w:after="40"/>
              <w:jc w:val="center"/>
              <w:rPr>
                <w:sz w:val="24"/>
                <w:szCs w:val="24"/>
              </w:rPr>
            </w:pPr>
            <w:r w:rsidRPr="00727AB8">
              <w:rPr>
                <w:sz w:val="24"/>
                <w:szCs w:val="24"/>
              </w:rPr>
              <w:t>Our competitors have already adopted AI</w:t>
            </w:r>
          </w:p>
        </w:tc>
        <w:tc>
          <w:tcPr>
            <w:tcW w:w="1507" w:type="dxa"/>
            <w:vMerge w:val="restart"/>
          </w:tcPr>
          <w:p w14:paraId="7EBFBEF9" w14:textId="2BED7550" w:rsidR="00100FA5" w:rsidRPr="00727AB8" w:rsidRDefault="00100FA5" w:rsidP="002A352C">
            <w:pPr>
              <w:widowControl w:val="0"/>
              <w:spacing w:before="40" w:after="40"/>
              <w:jc w:val="center"/>
              <w:rPr>
                <w:sz w:val="24"/>
                <w:szCs w:val="24"/>
              </w:rPr>
            </w:pPr>
            <w:r w:rsidRPr="00727AB8">
              <w:rPr>
                <w:sz w:val="24"/>
                <w:szCs w:val="24"/>
              </w:rPr>
              <w:t>Chen</w:t>
            </w:r>
            <w:r w:rsidR="005F527F" w:rsidRPr="00727AB8">
              <w:rPr>
                <w:sz w:val="24"/>
                <w:szCs w:val="24"/>
              </w:rPr>
              <w:t xml:space="preserve"> et al.</w:t>
            </w:r>
            <w:r w:rsidRPr="00727AB8">
              <w:rPr>
                <w:sz w:val="24"/>
                <w:szCs w:val="24"/>
              </w:rPr>
              <w:t xml:space="preserve"> </w:t>
            </w:r>
            <w:r w:rsidR="005F527F" w:rsidRPr="00727AB8">
              <w:rPr>
                <w:sz w:val="24"/>
                <w:szCs w:val="24"/>
              </w:rPr>
              <w:t>(</w:t>
            </w:r>
            <w:r w:rsidRPr="00727AB8">
              <w:rPr>
                <w:sz w:val="24"/>
                <w:szCs w:val="24"/>
              </w:rPr>
              <w:t>2015</w:t>
            </w:r>
            <w:r w:rsidR="005F527F" w:rsidRPr="00727AB8">
              <w:rPr>
                <w:sz w:val="24"/>
                <w:szCs w:val="24"/>
              </w:rPr>
              <w:t>)</w:t>
            </w:r>
          </w:p>
          <w:p w14:paraId="3AADB0C2" w14:textId="21AC7B88" w:rsidR="00100FA5" w:rsidRPr="00727AB8" w:rsidRDefault="00100FA5" w:rsidP="002A352C">
            <w:pPr>
              <w:widowControl w:val="0"/>
              <w:spacing w:before="40" w:after="40"/>
              <w:jc w:val="center"/>
              <w:rPr>
                <w:sz w:val="24"/>
                <w:szCs w:val="24"/>
              </w:rPr>
            </w:pPr>
            <w:r w:rsidRPr="00727AB8">
              <w:rPr>
                <w:sz w:val="24"/>
                <w:szCs w:val="24"/>
              </w:rPr>
              <w:t>Lai</w:t>
            </w:r>
            <w:r w:rsidR="00F30253" w:rsidRPr="00727AB8">
              <w:rPr>
                <w:sz w:val="24"/>
                <w:szCs w:val="24"/>
              </w:rPr>
              <w:t xml:space="preserve"> et al.</w:t>
            </w:r>
            <w:r w:rsidRPr="00727AB8">
              <w:rPr>
                <w:sz w:val="24"/>
                <w:szCs w:val="24"/>
              </w:rPr>
              <w:t xml:space="preserve"> </w:t>
            </w:r>
            <w:r w:rsidR="00F30253" w:rsidRPr="00727AB8">
              <w:rPr>
                <w:sz w:val="24"/>
                <w:szCs w:val="24"/>
              </w:rPr>
              <w:t>(</w:t>
            </w:r>
            <w:r w:rsidRPr="00727AB8">
              <w:rPr>
                <w:sz w:val="24"/>
                <w:szCs w:val="24"/>
              </w:rPr>
              <w:t>2018</w:t>
            </w:r>
            <w:r w:rsidR="00F30253" w:rsidRPr="00727AB8">
              <w:rPr>
                <w:sz w:val="24"/>
                <w:szCs w:val="24"/>
              </w:rPr>
              <w:t>)</w:t>
            </w:r>
          </w:p>
        </w:tc>
      </w:tr>
      <w:tr w:rsidR="00727AB8" w:rsidRPr="00727AB8" w14:paraId="5075C695" w14:textId="77777777" w:rsidTr="002A352C">
        <w:trPr>
          <w:jc w:val="center"/>
        </w:trPr>
        <w:tc>
          <w:tcPr>
            <w:tcW w:w="1555" w:type="dxa"/>
            <w:vMerge/>
          </w:tcPr>
          <w:p w14:paraId="4BEACC4B" w14:textId="77777777" w:rsidR="00100FA5" w:rsidRPr="00727AB8" w:rsidRDefault="00100FA5" w:rsidP="002A352C">
            <w:pPr>
              <w:widowControl w:val="0"/>
              <w:spacing w:before="50" w:after="50"/>
              <w:jc w:val="center"/>
              <w:rPr>
                <w:sz w:val="24"/>
                <w:szCs w:val="24"/>
              </w:rPr>
            </w:pPr>
          </w:p>
        </w:tc>
        <w:tc>
          <w:tcPr>
            <w:tcW w:w="6237" w:type="dxa"/>
          </w:tcPr>
          <w:p w14:paraId="09AC2DFE" w14:textId="77777777" w:rsidR="00100FA5" w:rsidRPr="00727AB8" w:rsidRDefault="00100FA5" w:rsidP="002A352C">
            <w:pPr>
              <w:widowControl w:val="0"/>
              <w:spacing w:before="40" w:after="40"/>
              <w:jc w:val="center"/>
              <w:rPr>
                <w:sz w:val="24"/>
                <w:szCs w:val="24"/>
              </w:rPr>
            </w:pPr>
            <w:r w:rsidRPr="00727AB8">
              <w:rPr>
                <w:sz w:val="24"/>
                <w:szCs w:val="24"/>
              </w:rPr>
              <w:t>Our partners have already adopted AI</w:t>
            </w:r>
          </w:p>
        </w:tc>
        <w:tc>
          <w:tcPr>
            <w:tcW w:w="1507" w:type="dxa"/>
            <w:vMerge/>
          </w:tcPr>
          <w:p w14:paraId="2D6D2D76" w14:textId="77777777" w:rsidR="00100FA5" w:rsidRPr="00727AB8" w:rsidRDefault="00100FA5" w:rsidP="002A352C">
            <w:pPr>
              <w:widowControl w:val="0"/>
              <w:spacing w:before="40" w:after="40"/>
              <w:jc w:val="center"/>
              <w:rPr>
                <w:sz w:val="24"/>
                <w:szCs w:val="24"/>
              </w:rPr>
            </w:pPr>
          </w:p>
        </w:tc>
      </w:tr>
      <w:tr w:rsidR="00727AB8" w:rsidRPr="00727AB8" w14:paraId="6810DAE4" w14:textId="77777777" w:rsidTr="002A352C">
        <w:trPr>
          <w:jc w:val="center"/>
        </w:trPr>
        <w:tc>
          <w:tcPr>
            <w:tcW w:w="1555" w:type="dxa"/>
            <w:vMerge/>
          </w:tcPr>
          <w:p w14:paraId="51501D3E" w14:textId="77777777" w:rsidR="00100FA5" w:rsidRPr="00727AB8" w:rsidRDefault="00100FA5" w:rsidP="002A352C">
            <w:pPr>
              <w:widowControl w:val="0"/>
              <w:spacing w:before="50" w:after="50"/>
              <w:jc w:val="center"/>
              <w:rPr>
                <w:sz w:val="24"/>
                <w:szCs w:val="24"/>
              </w:rPr>
            </w:pPr>
          </w:p>
        </w:tc>
        <w:tc>
          <w:tcPr>
            <w:tcW w:w="6237" w:type="dxa"/>
          </w:tcPr>
          <w:p w14:paraId="097EA892" w14:textId="77777777" w:rsidR="00100FA5" w:rsidRPr="00727AB8" w:rsidRDefault="00100FA5" w:rsidP="002A352C">
            <w:pPr>
              <w:widowControl w:val="0"/>
              <w:spacing w:before="40" w:after="40"/>
              <w:jc w:val="center"/>
              <w:rPr>
                <w:sz w:val="24"/>
                <w:szCs w:val="24"/>
              </w:rPr>
            </w:pPr>
            <w:r w:rsidRPr="00727AB8">
              <w:rPr>
                <w:sz w:val="24"/>
                <w:szCs w:val="24"/>
              </w:rPr>
              <w:t>Market trends point to higher adoption of AI</w:t>
            </w:r>
          </w:p>
        </w:tc>
        <w:tc>
          <w:tcPr>
            <w:tcW w:w="1507" w:type="dxa"/>
            <w:vMerge/>
          </w:tcPr>
          <w:p w14:paraId="5B15A2BC" w14:textId="77777777" w:rsidR="00100FA5" w:rsidRPr="00727AB8" w:rsidRDefault="00100FA5" w:rsidP="002A352C">
            <w:pPr>
              <w:widowControl w:val="0"/>
              <w:spacing w:before="40" w:after="40"/>
              <w:jc w:val="center"/>
              <w:rPr>
                <w:sz w:val="24"/>
                <w:szCs w:val="24"/>
              </w:rPr>
            </w:pPr>
          </w:p>
        </w:tc>
      </w:tr>
      <w:tr w:rsidR="00727AB8" w:rsidRPr="00727AB8" w14:paraId="3EB414A9" w14:textId="77777777" w:rsidTr="002A352C">
        <w:trPr>
          <w:jc w:val="center"/>
        </w:trPr>
        <w:tc>
          <w:tcPr>
            <w:tcW w:w="1555" w:type="dxa"/>
            <w:vMerge w:val="restart"/>
          </w:tcPr>
          <w:p w14:paraId="69AA3970" w14:textId="77777777" w:rsidR="00100FA5" w:rsidRPr="00727AB8" w:rsidRDefault="00100FA5" w:rsidP="002A352C">
            <w:pPr>
              <w:widowControl w:val="0"/>
              <w:spacing w:before="50" w:after="50"/>
              <w:jc w:val="center"/>
              <w:rPr>
                <w:sz w:val="24"/>
                <w:szCs w:val="24"/>
              </w:rPr>
            </w:pPr>
            <w:r w:rsidRPr="00727AB8">
              <w:rPr>
                <w:sz w:val="24"/>
                <w:szCs w:val="24"/>
              </w:rPr>
              <w:t>Disruption Response</w:t>
            </w:r>
          </w:p>
        </w:tc>
        <w:tc>
          <w:tcPr>
            <w:tcW w:w="6237" w:type="dxa"/>
          </w:tcPr>
          <w:p w14:paraId="426A6B02" w14:textId="77777777" w:rsidR="00100FA5" w:rsidRPr="00727AB8" w:rsidRDefault="00100FA5" w:rsidP="002A352C">
            <w:pPr>
              <w:widowControl w:val="0"/>
              <w:spacing w:before="40" w:after="40"/>
              <w:jc w:val="center"/>
              <w:rPr>
                <w:sz w:val="24"/>
                <w:szCs w:val="24"/>
              </w:rPr>
            </w:pPr>
            <w:r w:rsidRPr="00727AB8">
              <w:rPr>
                <w:sz w:val="24"/>
                <w:szCs w:val="24"/>
              </w:rPr>
              <w:t xml:space="preserve">My company has experienced negative effects from past events like natural disasters, geopolitical events, etc. </w:t>
            </w:r>
          </w:p>
        </w:tc>
        <w:tc>
          <w:tcPr>
            <w:tcW w:w="1507" w:type="dxa"/>
            <w:vMerge w:val="restart"/>
          </w:tcPr>
          <w:p w14:paraId="07980618" w14:textId="6078ED0E" w:rsidR="00100FA5" w:rsidRPr="00727AB8" w:rsidRDefault="00F30253" w:rsidP="002A352C">
            <w:pPr>
              <w:widowControl w:val="0"/>
              <w:spacing w:before="40" w:after="40"/>
              <w:jc w:val="center"/>
              <w:rPr>
                <w:sz w:val="24"/>
                <w:szCs w:val="24"/>
                <w:lang w:val="en-IN"/>
              </w:rPr>
            </w:pPr>
            <w:r w:rsidRPr="00727AB8">
              <w:rPr>
                <w:sz w:val="24"/>
                <w:szCs w:val="24"/>
                <w:lang w:val="en-IN"/>
              </w:rPr>
              <w:t>Singh et al.</w:t>
            </w:r>
            <w:r w:rsidR="00100FA5" w:rsidRPr="00727AB8">
              <w:rPr>
                <w:sz w:val="24"/>
                <w:szCs w:val="24"/>
                <w:lang w:val="en-IN"/>
              </w:rPr>
              <w:t xml:space="preserve"> </w:t>
            </w:r>
            <w:r w:rsidRPr="00727AB8">
              <w:rPr>
                <w:sz w:val="24"/>
                <w:szCs w:val="24"/>
                <w:lang w:val="en-IN"/>
              </w:rPr>
              <w:t>(</w:t>
            </w:r>
            <w:r w:rsidR="00100FA5" w:rsidRPr="00727AB8">
              <w:rPr>
                <w:sz w:val="24"/>
                <w:szCs w:val="24"/>
                <w:lang w:val="en-IN"/>
              </w:rPr>
              <w:t>2019</w:t>
            </w:r>
            <w:r w:rsidRPr="00727AB8">
              <w:rPr>
                <w:sz w:val="24"/>
                <w:szCs w:val="24"/>
                <w:lang w:val="en-IN"/>
              </w:rPr>
              <w:t>)</w:t>
            </w:r>
          </w:p>
          <w:p w14:paraId="6E2E7C71" w14:textId="53CA2392" w:rsidR="00100FA5" w:rsidRPr="00727AB8" w:rsidRDefault="00100FA5" w:rsidP="002A352C">
            <w:pPr>
              <w:widowControl w:val="0"/>
              <w:spacing w:before="40" w:after="40"/>
              <w:jc w:val="center"/>
              <w:rPr>
                <w:sz w:val="24"/>
                <w:szCs w:val="24"/>
              </w:rPr>
            </w:pPr>
            <w:r w:rsidRPr="00727AB8">
              <w:rPr>
                <w:sz w:val="24"/>
                <w:szCs w:val="24"/>
              </w:rPr>
              <w:t>Baryannis et al</w:t>
            </w:r>
            <w:r w:rsidRPr="00727AB8">
              <w:rPr>
                <w:i/>
                <w:iCs/>
                <w:sz w:val="24"/>
                <w:szCs w:val="24"/>
              </w:rPr>
              <w:t>.</w:t>
            </w:r>
            <w:r w:rsidRPr="00727AB8">
              <w:rPr>
                <w:sz w:val="24"/>
                <w:szCs w:val="24"/>
              </w:rPr>
              <w:t xml:space="preserve"> </w:t>
            </w:r>
            <w:r w:rsidR="00F30253" w:rsidRPr="00727AB8">
              <w:rPr>
                <w:sz w:val="24"/>
                <w:szCs w:val="24"/>
              </w:rPr>
              <w:t>(</w:t>
            </w:r>
            <w:r w:rsidRPr="00727AB8">
              <w:rPr>
                <w:sz w:val="24"/>
                <w:szCs w:val="24"/>
              </w:rPr>
              <w:t>2019</w:t>
            </w:r>
            <w:r w:rsidR="00F30253" w:rsidRPr="00727AB8">
              <w:rPr>
                <w:sz w:val="24"/>
                <w:szCs w:val="24"/>
              </w:rPr>
              <w:t>)</w:t>
            </w:r>
          </w:p>
          <w:p w14:paraId="0868DDF6" w14:textId="1C61081C" w:rsidR="00100FA5" w:rsidRPr="00727AB8" w:rsidRDefault="00100FA5" w:rsidP="002A352C">
            <w:pPr>
              <w:widowControl w:val="0"/>
              <w:spacing w:before="40" w:after="40"/>
              <w:jc w:val="center"/>
              <w:rPr>
                <w:sz w:val="24"/>
                <w:szCs w:val="24"/>
                <w:lang w:val="en-IN"/>
              </w:rPr>
            </w:pPr>
            <w:r w:rsidRPr="00727AB8">
              <w:rPr>
                <w:sz w:val="24"/>
                <w:szCs w:val="24"/>
                <w:lang w:val="en-IN"/>
              </w:rPr>
              <w:t>Katsaliaki</w:t>
            </w:r>
            <w:r w:rsidR="00970AB0" w:rsidRPr="00727AB8">
              <w:rPr>
                <w:sz w:val="24"/>
                <w:szCs w:val="24"/>
                <w:lang w:val="en-IN"/>
              </w:rPr>
              <w:t xml:space="preserve"> et al.</w:t>
            </w:r>
            <w:r w:rsidRPr="00727AB8">
              <w:rPr>
                <w:sz w:val="24"/>
                <w:szCs w:val="24"/>
                <w:lang w:val="en-IN"/>
              </w:rPr>
              <w:t xml:space="preserve"> </w:t>
            </w:r>
            <w:r w:rsidR="00970AB0" w:rsidRPr="00727AB8">
              <w:rPr>
                <w:sz w:val="24"/>
                <w:szCs w:val="24"/>
                <w:lang w:val="en-IN"/>
              </w:rPr>
              <w:t>(</w:t>
            </w:r>
            <w:r w:rsidRPr="00727AB8">
              <w:rPr>
                <w:sz w:val="24"/>
                <w:szCs w:val="24"/>
                <w:lang w:val="en-IN"/>
              </w:rPr>
              <w:t>2021</w:t>
            </w:r>
            <w:r w:rsidR="00970AB0" w:rsidRPr="00727AB8">
              <w:rPr>
                <w:sz w:val="24"/>
                <w:szCs w:val="24"/>
                <w:lang w:val="en-IN"/>
              </w:rPr>
              <w:t>)</w:t>
            </w:r>
          </w:p>
          <w:p w14:paraId="3A17D0DA" w14:textId="77777777" w:rsidR="00100FA5" w:rsidRPr="00727AB8" w:rsidRDefault="00100FA5" w:rsidP="002A352C">
            <w:pPr>
              <w:widowControl w:val="0"/>
              <w:spacing w:before="40" w:after="40"/>
              <w:jc w:val="center"/>
              <w:rPr>
                <w:sz w:val="24"/>
                <w:szCs w:val="24"/>
              </w:rPr>
            </w:pPr>
            <w:r w:rsidRPr="00727AB8">
              <w:rPr>
                <w:sz w:val="24"/>
                <w:szCs w:val="24"/>
              </w:rPr>
              <w:t>Inputs from Industry SMEs</w:t>
            </w:r>
          </w:p>
        </w:tc>
      </w:tr>
      <w:tr w:rsidR="00727AB8" w:rsidRPr="00727AB8" w14:paraId="224BE534" w14:textId="77777777" w:rsidTr="002A352C">
        <w:trPr>
          <w:jc w:val="center"/>
        </w:trPr>
        <w:tc>
          <w:tcPr>
            <w:tcW w:w="1555" w:type="dxa"/>
            <w:vMerge/>
          </w:tcPr>
          <w:p w14:paraId="1D896C97" w14:textId="77777777" w:rsidR="00100FA5" w:rsidRPr="00727AB8" w:rsidRDefault="00100FA5" w:rsidP="002A352C">
            <w:pPr>
              <w:widowControl w:val="0"/>
              <w:spacing w:before="50" w:after="50"/>
              <w:jc w:val="center"/>
              <w:rPr>
                <w:sz w:val="24"/>
                <w:szCs w:val="24"/>
              </w:rPr>
            </w:pPr>
          </w:p>
        </w:tc>
        <w:tc>
          <w:tcPr>
            <w:tcW w:w="6237" w:type="dxa"/>
          </w:tcPr>
          <w:p w14:paraId="3C17A47D" w14:textId="77777777" w:rsidR="00100FA5" w:rsidRPr="00727AB8" w:rsidRDefault="00100FA5" w:rsidP="002A352C">
            <w:pPr>
              <w:widowControl w:val="0"/>
              <w:spacing w:before="40" w:after="40"/>
              <w:jc w:val="center"/>
              <w:rPr>
                <w:sz w:val="24"/>
                <w:szCs w:val="24"/>
              </w:rPr>
            </w:pPr>
            <w:r w:rsidRPr="00727AB8">
              <w:rPr>
                <w:sz w:val="24"/>
                <w:szCs w:val="24"/>
              </w:rPr>
              <w:t>Early warning signals can enable my company to respond proactively to supply chain disruptions</w:t>
            </w:r>
          </w:p>
        </w:tc>
        <w:tc>
          <w:tcPr>
            <w:tcW w:w="1507" w:type="dxa"/>
            <w:vMerge/>
          </w:tcPr>
          <w:p w14:paraId="720E1BC2" w14:textId="77777777" w:rsidR="00100FA5" w:rsidRPr="00727AB8" w:rsidRDefault="00100FA5" w:rsidP="002A352C">
            <w:pPr>
              <w:widowControl w:val="0"/>
              <w:spacing w:before="50" w:after="50"/>
              <w:jc w:val="center"/>
              <w:rPr>
                <w:sz w:val="24"/>
                <w:szCs w:val="24"/>
              </w:rPr>
            </w:pPr>
          </w:p>
        </w:tc>
      </w:tr>
      <w:tr w:rsidR="00727AB8" w:rsidRPr="00727AB8" w14:paraId="42F4BA80" w14:textId="77777777" w:rsidTr="002A352C">
        <w:trPr>
          <w:jc w:val="center"/>
        </w:trPr>
        <w:tc>
          <w:tcPr>
            <w:tcW w:w="1555" w:type="dxa"/>
            <w:vMerge/>
          </w:tcPr>
          <w:p w14:paraId="54A4BBF4" w14:textId="77777777" w:rsidR="00100FA5" w:rsidRPr="00727AB8" w:rsidRDefault="00100FA5" w:rsidP="002A352C">
            <w:pPr>
              <w:widowControl w:val="0"/>
              <w:spacing w:before="50" w:after="50"/>
              <w:jc w:val="center"/>
              <w:rPr>
                <w:sz w:val="24"/>
                <w:szCs w:val="24"/>
              </w:rPr>
            </w:pPr>
          </w:p>
        </w:tc>
        <w:tc>
          <w:tcPr>
            <w:tcW w:w="6237" w:type="dxa"/>
          </w:tcPr>
          <w:p w14:paraId="4ECB6518" w14:textId="77777777" w:rsidR="00100FA5" w:rsidRPr="00727AB8" w:rsidRDefault="00100FA5" w:rsidP="002A352C">
            <w:pPr>
              <w:widowControl w:val="0"/>
              <w:spacing w:before="40" w:after="40"/>
              <w:jc w:val="center"/>
              <w:rPr>
                <w:sz w:val="24"/>
                <w:szCs w:val="24"/>
              </w:rPr>
            </w:pPr>
            <w:r w:rsidRPr="00727AB8">
              <w:rPr>
                <w:sz w:val="24"/>
                <w:szCs w:val="24"/>
              </w:rPr>
              <w:t>AI can provide insights to respond effectively to supply chain disruptions in my company</w:t>
            </w:r>
          </w:p>
        </w:tc>
        <w:tc>
          <w:tcPr>
            <w:tcW w:w="1507" w:type="dxa"/>
            <w:vMerge/>
          </w:tcPr>
          <w:p w14:paraId="6BF2214F" w14:textId="77777777" w:rsidR="00100FA5" w:rsidRPr="00727AB8" w:rsidRDefault="00100FA5" w:rsidP="002A352C">
            <w:pPr>
              <w:widowControl w:val="0"/>
              <w:spacing w:before="50" w:after="50"/>
              <w:jc w:val="center"/>
              <w:rPr>
                <w:sz w:val="24"/>
                <w:szCs w:val="24"/>
              </w:rPr>
            </w:pPr>
          </w:p>
        </w:tc>
      </w:tr>
      <w:tr w:rsidR="00727AB8" w:rsidRPr="00727AB8" w14:paraId="1CDA0D33" w14:textId="77777777" w:rsidTr="002A352C">
        <w:trPr>
          <w:jc w:val="center"/>
        </w:trPr>
        <w:tc>
          <w:tcPr>
            <w:tcW w:w="1555" w:type="dxa"/>
            <w:vMerge/>
          </w:tcPr>
          <w:p w14:paraId="41A3A26E" w14:textId="77777777" w:rsidR="00100FA5" w:rsidRPr="00727AB8" w:rsidRDefault="00100FA5" w:rsidP="002A352C">
            <w:pPr>
              <w:widowControl w:val="0"/>
              <w:spacing w:before="50" w:after="50"/>
              <w:jc w:val="center"/>
              <w:rPr>
                <w:sz w:val="24"/>
                <w:szCs w:val="24"/>
              </w:rPr>
            </w:pPr>
          </w:p>
        </w:tc>
        <w:tc>
          <w:tcPr>
            <w:tcW w:w="6237" w:type="dxa"/>
          </w:tcPr>
          <w:p w14:paraId="3D9B3F50" w14:textId="77777777" w:rsidR="00100FA5" w:rsidRPr="00727AB8" w:rsidRDefault="00100FA5" w:rsidP="002A352C">
            <w:pPr>
              <w:widowControl w:val="0"/>
              <w:spacing w:before="40" w:after="40"/>
              <w:jc w:val="center"/>
              <w:rPr>
                <w:sz w:val="24"/>
                <w:szCs w:val="24"/>
              </w:rPr>
            </w:pPr>
            <w:r w:rsidRPr="00727AB8">
              <w:rPr>
                <w:sz w:val="24"/>
                <w:szCs w:val="24"/>
              </w:rPr>
              <w:t>AI can help mitigate the impact of disruption to the supply chain in my company</w:t>
            </w:r>
          </w:p>
        </w:tc>
        <w:tc>
          <w:tcPr>
            <w:tcW w:w="1507" w:type="dxa"/>
            <w:vMerge/>
          </w:tcPr>
          <w:p w14:paraId="07D8A261" w14:textId="77777777" w:rsidR="00100FA5" w:rsidRPr="00727AB8" w:rsidRDefault="00100FA5" w:rsidP="002A352C">
            <w:pPr>
              <w:widowControl w:val="0"/>
              <w:spacing w:before="50" w:after="50"/>
              <w:jc w:val="center"/>
              <w:rPr>
                <w:sz w:val="24"/>
                <w:szCs w:val="24"/>
              </w:rPr>
            </w:pPr>
          </w:p>
        </w:tc>
      </w:tr>
    </w:tbl>
    <w:p w14:paraId="12ECA2EE" w14:textId="1C965A26" w:rsidR="00100FA5" w:rsidRPr="00727AB8" w:rsidRDefault="00100FA5" w:rsidP="00727AB8">
      <w:pPr>
        <w:pStyle w:val="BodyText"/>
        <w:spacing w:line="252" w:lineRule="auto"/>
        <w:ind w:firstLine="0"/>
        <w:rPr>
          <w:sz w:val="20"/>
          <w:szCs w:val="20"/>
        </w:rPr>
      </w:pPr>
      <w:r w:rsidRPr="00727AB8">
        <w:rPr>
          <w:sz w:val="20"/>
          <w:szCs w:val="20"/>
        </w:rPr>
        <w:t xml:space="preserve">Source: </w:t>
      </w:r>
      <w:r w:rsidR="005241C1" w:rsidRPr="00727AB8">
        <w:rPr>
          <w:sz w:val="20"/>
          <w:szCs w:val="20"/>
        </w:rPr>
        <w:t>Author’s com</w:t>
      </w:r>
      <w:r w:rsidR="00467EC1" w:rsidRPr="00727AB8">
        <w:rPr>
          <w:sz w:val="20"/>
          <w:szCs w:val="20"/>
        </w:rPr>
        <w:t>pilation</w:t>
      </w:r>
    </w:p>
    <w:p w14:paraId="51E748D2" w14:textId="7F2676A9" w:rsidR="00100FA5" w:rsidRPr="00727AB8" w:rsidRDefault="00100FA5" w:rsidP="00727AB8">
      <w:pPr>
        <w:pStyle w:val="Heading2"/>
        <w:rPr>
          <w:rFonts w:ascii="Times New Roman" w:hAnsi="Times New Roman"/>
        </w:rPr>
      </w:pPr>
      <w:r w:rsidRPr="00727AB8">
        <w:rPr>
          <w:rFonts w:ascii="Times New Roman" w:hAnsi="Times New Roman"/>
        </w:rPr>
        <w:lastRenderedPageBreak/>
        <w:t xml:space="preserve">3.3. Pre-testing </w:t>
      </w:r>
    </w:p>
    <w:p w14:paraId="535989B4" w14:textId="7FBAA10A" w:rsidR="00100FA5" w:rsidRPr="00727AB8" w:rsidRDefault="00100FA5" w:rsidP="002A352C">
      <w:pPr>
        <w:pStyle w:val="BodyText"/>
        <w:spacing w:line="259" w:lineRule="auto"/>
        <w:rPr>
          <w:lang w:val="en-GB"/>
        </w:rPr>
      </w:pPr>
      <w:r w:rsidRPr="00727AB8">
        <w:rPr>
          <w:lang w:val="en-GB"/>
        </w:rPr>
        <w:t>The pre-testing covered areas including the items, sentence construction, question quality, and identifying biases and errors (</w:t>
      </w:r>
      <w:r w:rsidRPr="00727AB8">
        <w:rPr>
          <w:lang w:val="en-IN"/>
        </w:rPr>
        <w:t>Shahbaz et al., 2019)</w:t>
      </w:r>
      <w:r w:rsidRPr="00727AB8">
        <w:rPr>
          <w:lang w:val="en-GB"/>
        </w:rPr>
        <w:t xml:space="preserve">. This activity has been done along with nine industry </w:t>
      </w:r>
      <w:r w:rsidR="009162FA" w:rsidRPr="00727AB8">
        <w:rPr>
          <w:lang w:val="en-GB"/>
        </w:rPr>
        <w:t xml:space="preserve">Subject Matter Experts </w:t>
      </w:r>
      <w:r w:rsidRPr="00727AB8">
        <w:rPr>
          <w:lang w:val="en-GB"/>
        </w:rPr>
        <w:t xml:space="preserve">(SMEs) from India, based on unstructured interviews. The industry experts consisted of four SMEs from the manufacturing industry, two SMEs from the retail industry, one SME from the wholesale industry, one SME from AI consulting, and one SME from risk consulting. All SMEs held positions in senior management, e.g., directors, and business heads, and are all decision-makers in their respective organizations. Additionally, the items have been discussed and validated with two professors from academia. The suggestions and comments from both the industry SMEs and experts from academia have been carefully studied and incorporated. While comments related to language and clarity were promptly incorporated, an additional construct was added to the instrument on ERM alignment based on detailed inputs received from one of the SMEs with expertise in risk consulting. </w:t>
      </w:r>
      <w:r w:rsidR="00F6434D" w:rsidRPr="00727AB8">
        <w:rPr>
          <w:lang w:val="en-GB"/>
        </w:rPr>
        <w:t xml:space="preserve">The further </w:t>
      </w:r>
      <w:r w:rsidRPr="00727AB8">
        <w:rPr>
          <w:lang w:val="en-GB"/>
        </w:rPr>
        <w:t>literature review was done on the integration of SCRM and ERM in practice and items identified and re-validated with the risk consulting SME.</w:t>
      </w:r>
    </w:p>
    <w:p w14:paraId="2D04B0BC" w14:textId="3127A5E5" w:rsidR="00100FA5" w:rsidRPr="00727AB8" w:rsidRDefault="00100FA5" w:rsidP="002A352C">
      <w:pPr>
        <w:pStyle w:val="Heading2"/>
        <w:spacing w:line="259" w:lineRule="auto"/>
        <w:rPr>
          <w:rFonts w:ascii="Times New Roman" w:hAnsi="Times New Roman"/>
        </w:rPr>
      </w:pPr>
      <w:r w:rsidRPr="00727AB8">
        <w:rPr>
          <w:rFonts w:ascii="Times New Roman" w:hAnsi="Times New Roman"/>
        </w:rPr>
        <w:t xml:space="preserve">3.4. Final questionnaire development and pilot testing </w:t>
      </w:r>
    </w:p>
    <w:p w14:paraId="0BF47A12" w14:textId="5A7363C4" w:rsidR="00100FA5" w:rsidRPr="00727AB8" w:rsidRDefault="00100FA5" w:rsidP="002A352C">
      <w:pPr>
        <w:pStyle w:val="BodyText"/>
        <w:spacing w:line="259" w:lineRule="auto"/>
        <w:rPr>
          <w:lang w:val="en-GB"/>
        </w:rPr>
      </w:pPr>
      <w:r w:rsidRPr="00727AB8">
        <w:rPr>
          <w:lang w:val="en-GB"/>
        </w:rPr>
        <w:t>A five-point Likert scale was used for each item asking respondents to grade each item in the range of 1 (strongly disagree) to 5 (strongly agree). Google forms were used to create and distribute the online questionnaire. The survey instrument was designed to ensure face validity and improve readability for the respondents. It was initially pilot tested by exploratory study with a limited set of 15 respondents randomly chosen from the list of planned respondents. No issues were observed in terms of responses captured or any other issues.</w:t>
      </w:r>
    </w:p>
    <w:p w14:paraId="68E05F73" w14:textId="2DB14815" w:rsidR="00100FA5" w:rsidRPr="00727AB8" w:rsidRDefault="00100FA5" w:rsidP="002A352C">
      <w:pPr>
        <w:pStyle w:val="Heading2"/>
        <w:spacing w:line="259" w:lineRule="auto"/>
        <w:rPr>
          <w:rFonts w:ascii="Times New Roman" w:hAnsi="Times New Roman"/>
        </w:rPr>
      </w:pPr>
      <w:r w:rsidRPr="00727AB8">
        <w:rPr>
          <w:rFonts w:ascii="Times New Roman" w:hAnsi="Times New Roman"/>
        </w:rPr>
        <w:t>3.5</w:t>
      </w:r>
      <w:r w:rsidR="009162FA" w:rsidRPr="00727AB8">
        <w:rPr>
          <w:rFonts w:ascii="Times New Roman" w:hAnsi="Times New Roman"/>
        </w:rPr>
        <w:t>.</w:t>
      </w:r>
      <w:r w:rsidRPr="00727AB8">
        <w:rPr>
          <w:rFonts w:ascii="Times New Roman" w:hAnsi="Times New Roman"/>
        </w:rPr>
        <w:t xml:space="preserve"> Questionnaire distribution and data collection </w:t>
      </w:r>
    </w:p>
    <w:p w14:paraId="4CD6A78D" w14:textId="2A660B34" w:rsidR="00100FA5" w:rsidRPr="00727AB8" w:rsidRDefault="00100FA5" w:rsidP="002A352C">
      <w:pPr>
        <w:pStyle w:val="BodyText"/>
        <w:spacing w:line="259" w:lineRule="auto"/>
        <w:rPr>
          <w:lang w:val="en-GB"/>
        </w:rPr>
      </w:pPr>
      <w:r w:rsidRPr="00727AB8">
        <w:rPr>
          <w:lang w:val="en-GB"/>
        </w:rPr>
        <w:t xml:space="preserve">For data collection, a survey was conducted in India covering organizations across manufacturing, wholesale trade, and retail trade industries in India. An online survey covering a randomly selected set of 300 leading organizations was conducted covering the target industries. Senior and mid-level leadership in the supply chain, operations, and production were targeted after carefully validating their profiles on the professional networking site LinkedIn. In addition, AI consultants from leading services firms like Information Technology, </w:t>
      </w:r>
      <w:r w:rsidR="00F6434D" w:rsidRPr="00727AB8">
        <w:rPr>
          <w:lang w:val="en-GB"/>
        </w:rPr>
        <w:t xml:space="preserve">and </w:t>
      </w:r>
      <w:r w:rsidRPr="00727AB8">
        <w:rPr>
          <w:lang w:val="en-GB"/>
        </w:rPr>
        <w:t xml:space="preserve">data and analytics firms supporting the target industries were covered as part of the survey. After repeated follow-ups and reminders, 123 completed responses were received. </w:t>
      </w:r>
    </w:p>
    <w:p w14:paraId="61E6A9CF" w14:textId="4CEE7E2C" w:rsidR="00100FA5" w:rsidRPr="00727AB8" w:rsidRDefault="00100FA5" w:rsidP="002A352C">
      <w:pPr>
        <w:pStyle w:val="Heading2"/>
        <w:spacing w:line="259" w:lineRule="auto"/>
        <w:rPr>
          <w:rFonts w:ascii="Times New Roman" w:hAnsi="Times New Roman"/>
        </w:rPr>
      </w:pPr>
      <w:r w:rsidRPr="00727AB8">
        <w:rPr>
          <w:rFonts w:ascii="Times New Roman" w:hAnsi="Times New Roman"/>
        </w:rPr>
        <w:t>3.6</w:t>
      </w:r>
      <w:r w:rsidR="009162FA" w:rsidRPr="00727AB8">
        <w:rPr>
          <w:rFonts w:ascii="Times New Roman" w:hAnsi="Times New Roman"/>
        </w:rPr>
        <w:t>.</w:t>
      </w:r>
      <w:r w:rsidRPr="00727AB8">
        <w:rPr>
          <w:rFonts w:ascii="Times New Roman" w:hAnsi="Times New Roman"/>
        </w:rPr>
        <w:t xml:space="preserve"> Data screening and data analysis </w:t>
      </w:r>
    </w:p>
    <w:p w14:paraId="17C74E8A" w14:textId="4CA78AD2" w:rsidR="00100FA5" w:rsidRPr="00727AB8" w:rsidRDefault="00100FA5" w:rsidP="002A352C">
      <w:pPr>
        <w:pStyle w:val="BodyText"/>
        <w:spacing w:line="259" w:lineRule="auto"/>
        <w:rPr>
          <w:lang w:val="en-GB"/>
        </w:rPr>
      </w:pPr>
      <w:r w:rsidRPr="00727AB8">
        <w:rPr>
          <w:lang w:val="en-GB"/>
        </w:rPr>
        <w:t xml:space="preserve">All the 123 responses were complete with no missing values as the questions were set as mandatory in the online portal. The distribution of the data as mentioned in </w:t>
      </w:r>
      <w:r w:rsidR="009162FA" w:rsidRPr="00727AB8">
        <w:rPr>
          <w:lang w:val="en-GB"/>
        </w:rPr>
        <w:t>Table</w:t>
      </w:r>
      <w:r w:rsidRPr="00727AB8">
        <w:rPr>
          <w:lang w:val="en-GB"/>
        </w:rPr>
        <w:t>s 5, 6, and 7 show that majority of the respondents (56%) are from middle management, manufacturing industry coverage was the maximum (37%) and a majority of the respondents were in the experience bracket of 11 years to 20 years (54.5%).</w:t>
      </w:r>
    </w:p>
    <w:p w14:paraId="51342B09" w14:textId="77777777" w:rsidR="002A352C" w:rsidRDefault="002A352C">
      <w:pPr>
        <w:rPr>
          <w:b/>
          <w:bCs/>
          <w:sz w:val="24"/>
          <w:szCs w:val="24"/>
        </w:rPr>
      </w:pPr>
      <w:r>
        <w:rPr>
          <w:b/>
          <w:bCs/>
        </w:rPr>
        <w:br w:type="page"/>
      </w:r>
    </w:p>
    <w:p w14:paraId="3CDB19BB" w14:textId="6F59558E" w:rsidR="00100FA5" w:rsidRPr="00727AB8" w:rsidRDefault="00100FA5" w:rsidP="00727AB8">
      <w:pPr>
        <w:pStyle w:val="BodyText"/>
        <w:spacing w:line="252" w:lineRule="auto"/>
        <w:ind w:firstLine="0"/>
        <w:rPr>
          <w:b/>
          <w:bCs/>
        </w:rPr>
      </w:pPr>
      <w:r w:rsidRPr="00727AB8">
        <w:rPr>
          <w:b/>
          <w:bCs/>
        </w:rPr>
        <w:lastRenderedPageBreak/>
        <w:t>Table 5</w:t>
      </w:r>
    </w:p>
    <w:p w14:paraId="3C76EA5C" w14:textId="1FE4E8F3" w:rsidR="00100FA5" w:rsidRPr="00727AB8" w:rsidRDefault="002D7DCB" w:rsidP="00727AB8">
      <w:pPr>
        <w:pStyle w:val="BodyText"/>
        <w:spacing w:after="120" w:line="252" w:lineRule="auto"/>
        <w:ind w:firstLine="0"/>
      </w:pPr>
      <w:r w:rsidRPr="00727AB8">
        <w:t>Distribution of respondents by job role</w:t>
      </w:r>
    </w:p>
    <w:tbl>
      <w:tblPr>
        <w:tblStyle w:val="TableGrid"/>
        <w:tblW w:w="9299" w:type="dxa"/>
        <w:jc w:val="center"/>
        <w:tblLayout w:type="fixed"/>
        <w:tblCellMar>
          <w:left w:w="57" w:type="dxa"/>
          <w:right w:w="57" w:type="dxa"/>
        </w:tblCellMar>
        <w:tblLook w:val="04A0" w:firstRow="1" w:lastRow="0" w:firstColumn="1" w:lastColumn="0" w:noHBand="0" w:noVBand="1"/>
      </w:tblPr>
      <w:tblGrid>
        <w:gridCol w:w="4021"/>
        <w:gridCol w:w="2329"/>
        <w:gridCol w:w="2949"/>
      </w:tblGrid>
      <w:tr w:rsidR="00727AB8" w:rsidRPr="00727AB8" w14:paraId="5FFA0BC9" w14:textId="77777777" w:rsidTr="002A352C">
        <w:trPr>
          <w:trHeight w:val="327"/>
          <w:jc w:val="center"/>
        </w:trPr>
        <w:tc>
          <w:tcPr>
            <w:tcW w:w="4159" w:type="dxa"/>
            <w:noWrap/>
            <w:vAlign w:val="bottom"/>
            <w:hideMark/>
          </w:tcPr>
          <w:p w14:paraId="155073F3" w14:textId="77777777" w:rsidR="002D7DCB" w:rsidRPr="00727AB8" w:rsidRDefault="002D7DCB" w:rsidP="00727AB8">
            <w:pPr>
              <w:widowControl w:val="0"/>
              <w:spacing w:before="60" w:after="60"/>
              <w:jc w:val="center"/>
              <w:rPr>
                <w:b/>
                <w:bCs/>
                <w:sz w:val="24"/>
                <w:lang w:val="en-IN" w:eastAsia="en-GB"/>
              </w:rPr>
            </w:pPr>
            <w:r w:rsidRPr="00727AB8">
              <w:rPr>
                <w:b/>
                <w:bCs/>
                <w:sz w:val="24"/>
              </w:rPr>
              <w:t>Role</w:t>
            </w:r>
          </w:p>
        </w:tc>
        <w:tc>
          <w:tcPr>
            <w:tcW w:w="2406" w:type="dxa"/>
            <w:noWrap/>
            <w:vAlign w:val="bottom"/>
            <w:hideMark/>
          </w:tcPr>
          <w:p w14:paraId="4A7CEB59" w14:textId="77777777" w:rsidR="002D7DCB" w:rsidRPr="00727AB8" w:rsidRDefault="002D7DCB" w:rsidP="00727AB8">
            <w:pPr>
              <w:widowControl w:val="0"/>
              <w:spacing w:before="60" w:after="60"/>
              <w:jc w:val="center"/>
              <w:rPr>
                <w:b/>
                <w:bCs/>
                <w:sz w:val="24"/>
                <w:lang w:val="en-IN" w:eastAsia="en-GB"/>
              </w:rPr>
            </w:pPr>
            <w:r w:rsidRPr="00727AB8">
              <w:rPr>
                <w:b/>
                <w:bCs/>
                <w:sz w:val="24"/>
              </w:rPr>
              <w:t># Of Respondents</w:t>
            </w:r>
          </w:p>
        </w:tc>
        <w:tc>
          <w:tcPr>
            <w:tcW w:w="3048" w:type="dxa"/>
            <w:noWrap/>
            <w:vAlign w:val="bottom"/>
            <w:hideMark/>
          </w:tcPr>
          <w:p w14:paraId="355D8668" w14:textId="77777777" w:rsidR="002D7DCB" w:rsidRPr="00727AB8" w:rsidRDefault="002D7DCB" w:rsidP="00727AB8">
            <w:pPr>
              <w:widowControl w:val="0"/>
              <w:spacing w:before="60" w:after="60"/>
              <w:jc w:val="center"/>
              <w:rPr>
                <w:b/>
                <w:bCs/>
                <w:sz w:val="24"/>
                <w:lang w:val="en-IN" w:eastAsia="en-GB"/>
              </w:rPr>
            </w:pPr>
            <w:r w:rsidRPr="00727AB8">
              <w:rPr>
                <w:b/>
                <w:bCs/>
                <w:sz w:val="24"/>
              </w:rPr>
              <w:t>% Of Respondents</w:t>
            </w:r>
          </w:p>
        </w:tc>
      </w:tr>
      <w:tr w:rsidR="00727AB8" w:rsidRPr="00727AB8" w14:paraId="5F493CAF" w14:textId="77777777" w:rsidTr="002A352C">
        <w:trPr>
          <w:trHeight w:val="327"/>
          <w:jc w:val="center"/>
        </w:trPr>
        <w:tc>
          <w:tcPr>
            <w:tcW w:w="4159" w:type="dxa"/>
            <w:noWrap/>
            <w:vAlign w:val="bottom"/>
            <w:hideMark/>
          </w:tcPr>
          <w:p w14:paraId="16A30D37" w14:textId="77777777" w:rsidR="002D7DCB" w:rsidRPr="00727AB8" w:rsidRDefault="002D7DCB" w:rsidP="00727AB8">
            <w:pPr>
              <w:widowControl w:val="0"/>
              <w:spacing w:before="60" w:after="60"/>
              <w:jc w:val="center"/>
              <w:rPr>
                <w:sz w:val="24"/>
                <w:lang w:val="en-IN" w:eastAsia="en-GB"/>
              </w:rPr>
            </w:pPr>
            <w:r w:rsidRPr="00727AB8">
              <w:rPr>
                <w:sz w:val="24"/>
              </w:rPr>
              <w:t>Lower Management</w:t>
            </w:r>
          </w:p>
        </w:tc>
        <w:tc>
          <w:tcPr>
            <w:tcW w:w="2406" w:type="dxa"/>
            <w:noWrap/>
            <w:vAlign w:val="bottom"/>
            <w:hideMark/>
          </w:tcPr>
          <w:p w14:paraId="083EBFBD" w14:textId="77777777" w:rsidR="002D7DCB" w:rsidRPr="00727AB8" w:rsidRDefault="002D7DCB" w:rsidP="00727AB8">
            <w:pPr>
              <w:widowControl w:val="0"/>
              <w:spacing w:before="60" w:after="60"/>
              <w:jc w:val="center"/>
              <w:rPr>
                <w:sz w:val="24"/>
                <w:lang w:val="en-IN" w:eastAsia="en-GB"/>
              </w:rPr>
            </w:pPr>
            <w:r w:rsidRPr="00727AB8">
              <w:rPr>
                <w:sz w:val="24"/>
              </w:rPr>
              <w:t>28</w:t>
            </w:r>
          </w:p>
        </w:tc>
        <w:tc>
          <w:tcPr>
            <w:tcW w:w="3048" w:type="dxa"/>
            <w:noWrap/>
            <w:vAlign w:val="bottom"/>
            <w:hideMark/>
          </w:tcPr>
          <w:p w14:paraId="6A4E7772" w14:textId="77777777" w:rsidR="002D7DCB" w:rsidRPr="00727AB8" w:rsidRDefault="002D7DCB" w:rsidP="00727AB8">
            <w:pPr>
              <w:widowControl w:val="0"/>
              <w:spacing w:before="60" w:after="60"/>
              <w:jc w:val="center"/>
              <w:rPr>
                <w:sz w:val="24"/>
                <w:lang w:val="en-IN" w:eastAsia="en-GB"/>
              </w:rPr>
            </w:pPr>
            <w:r w:rsidRPr="00727AB8">
              <w:rPr>
                <w:sz w:val="24"/>
              </w:rPr>
              <w:t>22.8%</w:t>
            </w:r>
          </w:p>
        </w:tc>
      </w:tr>
      <w:tr w:rsidR="00727AB8" w:rsidRPr="00727AB8" w14:paraId="3A3EE9B0" w14:textId="77777777" w:rsidTr="002A352C">
        <w:trPr>
          <w:trHeight w:val="327"/>
          <w:jc w:val="center"/>
        </w:trPr>
        <w:tc>
          <w:tcPr>
            <w:tcW w:w="4159" w:type="dxa"/>
            <w:noWrap/>
            <w:vAlign w:val="bottom"/>
            <w:hideMark/>
          </w:tcPr>
          <w:p w14:paraId="17A9F179" w14:textId="77777777" w:rsidR="002D7DCB" w:rsidRPr="00727AB8" w:rsidRDefault="002D7DCB" w:rsidP="00727AB8">
            <w:pPr>
              <w:widowControl w:val="0"/>
              <w:spacing w:before="60" w:after="60"/>
              <w:jc w:val="center"/>
              <w:rPr>
                <w:sz w:val="24"/>
                <w:lang w:val="en-IN" w:eastAsia="en-GB"/>
              </w:rPr>
            </w:pPr>
            <w:r w:rsidRPr="00727AB8">
              <w:rPr>
                <w:sz w:val="24"/>
              </w:rPr>
              <w:t>Mid Management</w:t>
            </w:r>
          </w:p>
        </w:tc>
        <w:tc>
          <w:tcPr>
            <w:tcW w:w="2406" w:type="dxa"/>
            <w:noWrap/>
            <w:vAlign w:val="bottom"/>
            <w:hideMark/>
          </w:tcPr>
          <w:p w14:paraId="6DA17802" w14:textId="77777777" w:rsidR="002D7DCB" w:rsidRPr="00727AB8" w:rsidRDefault="002D7DCB" w:rsidP="00727AB8">
            <w:pPr>
              <w:widowControl w:val="0"/>
              <w:spacing w:before="60" w:after="60"/>
              <w:jc w:val="center"/>
              <w:rPr>
                <w:sz w:val="24"/>
                <w:lang w:val="en-IN" w:eastAsia="en-GB"/>
              </w:rPr>
            </w:pPr>
            <w:r w:rsidRPr="00727AB8">
              <w:rPr>
                <w:sz w:val="24"/>
              </w:rPr>
              <w:t>69</w:t>
            </w:r>
          </w:p>
        </w:tc>
        <w:tc>
          <w:tcPr>
            <w:tcW w:w="3048" w:type="dxa"/>
            <w:noWrap/>
            <w:vAlign w:val="bottom"/>
            <w:hideMark/>
          </w:tcPr>
          <w:p w14:paraId="6685E8C0" w14:textId="77777777" w:rsidR="002D7DCB" w:rsidRPr="00727AB8" w:rsidRDefault="002D7DCB" w:rsidP="00727AB8">
            <w:pPr>
              <w:widowControl w:val="0"/>
              <w:spacing w:before="60" w:after="60"/>
              <w:jc w:val="center"/>
              <w:rPr>
                <w:sz w:val="24"/>
                <w:lang w:val="en-IN" w:eastAsia="en-GB"/>
              </w:rPr>
            </w:pPr>
            <w:r w:rsidRPr="00727AB8">
              <w:rPr>
                <w:sz w:val="24"/>
              </w:rPr>
              <w:t>56.1%</w:t>
            </w:r>
          </w:p>
        </w:tc>
      </w:tr>
      <w:tr w:rsidR="00727AB8" w:rsidRPr="00727AB8" w14:paraId="1CD4B04F" w14:textId="77777777" w:rsidTr="002A352C">
        <w:trPr>
          <w:trHeight w:val="327"/>
          <w:jc w:val="center"/>
        </w:trPr>
        <w:tc>
          <w:tcPr>
            <w:tcW w:w="4159" w:type="dxa"/>
            <w:noWrap/>
            <w:vAlign w:val="bottom"/>
            <w:hideMark/>
          </w:tcPr>
          <w:p w14:paraId="1A97D9E9" w14:textId="77777777" w:rsidR="002D7DCB" w:rsidRPr="00727AB8" w:rsidRDefault="002D7DCB" w:rsidP="00727AB8">
            <w:pPr>
              <w:widowControl w:val="0"/>
              <w:spacing w:before="60" w:after="60"/>
              <w:jc w:val="center"/>
              <w:rPr>
                <w:sz w:val="24"/>
                <w:lang w:val="en-IN" w:eastAsia="en-GB"/>
              </w:rPr>
            </w:pPr>
            <w:r w:rsidRPr="00727AB8">
              <w:rPr>
                <w:sz w:val="24"/>
              </w:rPr>
              <w:t>Top Management</w:t>
            </w:r>
          </w:p>
        </w:tc>
        <w:tc>
          <w:tcPr>
            <w:tcW w:w="2406" w:type="dxa"/>
            <w:noWrap/>
            <w:vAlign w:val="bottom"/>
            <w:hideMark/>
          </w:tcPr>
          <w:p w14:paraId="4E8F725F" w14:textId="77777777" w:rsidR="002D7DCB" w:rsidRPr="00727AB8" w:rsidRDefault="002D7DCB" w:rsidP="00727AB8">
            <w:pPr>
              <w:widowControl w:val="0"/>
              <w:spacing w:before="60" w:after="60"/>
              <w:jc w:val="center"/>
              <w:rPr>
                <w:sz w:val="24"/>
                <w:lang w:val="en-IN" w:eastAsia="en-GB"/>
              </w:rPr>
            </w:pPr>
            <w:r w:rsidRPr="00727AB8">
              <w:rPr>
                <w:sz w:val="24"/>
              </w:rPr>
              <w:t>26</w:t>
            </w:r>
          </w:p>
        </w:tc>
        <w:tc>
          <w:tcPr>
            <w:tcW w:w="3048" w:type="dxa"/>
            <w:noWrap/>
            <w:vAlign w:val="bottom"/>
            <w:hideMark/>
          </w:tcPr>
          <w:p w14:paraId="70237F39" w14:textId="77777777" w:rsidR="002D7DCB" w:rsidRPr="00727AB8" w:rsidRDefault="002D7DCB" w:rsidP="00727AB8">
            <w:pPr>
              <w:widowControl w:val="0"/>
              <w:spacing w:before="60" w:after="60"/>
              <w:jc w:val="center"/>
              <w:rPr>
                <w:sz w:val="24"/>
                <w:lang w:val="en-IN" w:eastAsia="en-GB"/>
              </w:rPr>
            </w:pPr>
            <w:r w:rsidRPr="00727AB8">
              <w:rPr>
                <w:sz w:val="24"/>
              </w:rPr>
              <w:t>21.1%</w:t>
            </w:r>
          </w:p>
        </w:tc>
      </w:tr>
      <w:tr w:rsidR="00727AB8" w:rsidRPr="00727AB8" w14:paraId="1CF644EF" w14:textId="77777777" w:rsidTr="002A352C">
        <w:trPr>
          <w:trHeight w:val="327"/>
          <w:jc w:val="center"/>
        </w:trPr>
        <w:tc>
          <w:tcPr>
            <w:tcW w:w="4159" w:type="dxa"/>
            <w:noWrap/>
            <w:vAlign w:val="bottom"/>
            <w:hideMark/>
          </w:tcPr>
          <w:p w14:paraId="267C9141" w14:textId="77777777" w:rsidR="002D7DCB" w:rsidRPr="00727AB8" w:rsidRDefault="002D7DCB" w:rsidP="00727AB8">
            <w:pPr>
              <w:widowControl w:val="0"/>
              <w:spacing w:before="60" w:after="60"/>
              <w:jc w:val="center"/>
              <w:rPr>
                <w:b/>
                <w:bCs/>
                <w:sz w:val="24"/>
                <w:lang w:val="en-IN" w:eastAsia="en-GB"/>
              </w:rPr>
            </w:pPr>
            <w:r w:rsidRPr="00727AB8">
              <w:rPr>
                <w:b/>
                <w:bCs/>
                <w:sz w:val="24"/>
              </w:rPr>
              <w:t>Grand Total</w:t>
            </w:r>
          </w:p>
        </w:tc>
        <w:tc>
          <w:tcPr>
            <w:tcW w:w="2406" w:type="dxa"/>
            <w:noWrap/>
            <w:vAlign w:val="bottom"/>
            <w:hideMark/>
          </w:tcPr>
          <w:p w14:paraId="13DD3A31" w14:textId="77777777" w:rsidR="002D7DCB" w:rsidRPr="00727AB8" w:rsidRDefault="002D7DCB" w:rsidP="00727AB8">
            <w:pPr>
              <w:widowControl w:val="0"/>
              <w:spacing w:before="60" w:after="60"/>
              <w:jc w:val="center"/>
              <w:rPr>
                <w:b/>
                <w:bCs/>
                <w:sz w:val="24"/>
                <w:lang w:val="en-IN" w:eastAsia="en-GB"/>
              </w:rPr>
            </w:pPr>
            <w:r w:rsidRPr="00727AB8">
              <w:rPr>
                <w:b/>
                <w:bCs/>
                <w:sz w:val="24"/>
              </w:rPr>
              <w:t>123</w:t>
            </w:r>
          </w:p>
        </w:tc>
        <w:tc>
          <w:tcPr>
            <w:tcW w:w="3048" w:type="dxa"/>
            <w:noWrap/>
            <w:vAlign w:val="bottom"/>
            <w:hideMark/>
          </w:tcPr>
          <w:p w14:paraId="290E1988" w14:textId="77777777" w:rsidR="002D7DCB" w:rsidRPr="00727AB8" w:rsidRDefault="002D7DCB" w:rsidP="00727AB8">
            <w:pPr>
              <w:widowControl w:val="0"/>
              <w:spacing w:before="60" w:after="60"/>
              <w:jc w:val="center"/>
              <w:rPr>
                <w:b/>
                <w:bCs/>
                <w:sz w:val="24"/>
                <w:lang w:val="en-IN" w:eastAsia="en-GB"/>
              </w:rPr>
            </w:pPr>
            <w:r w:rsidRPr="00727AB8">
              <w:rPr>
                <w:b/>
                <w:bCs/>
                <w:sz w:val="24"/>
              </w:rPr>
              <w:t>100.0%</w:t>
            </w:r>
          </w:p>
        </w:tc>
      </w:tr>
    </w:tbl>
    <w:p w14:paraId="2A744E32" w14:textId="7F8F3E68" w:rsidR="00100FA5" w:rsidRPr="00727AB8" w:rsidRDefault="00100FA5" w:rsidP="00727AB8">
      <w:pPr>
        <w:pStyle w:val="BodyText"/>
        <w:spacing w:line="252" w:lineRule="auto"/>
        <w:ind w:firstLine="0"/>
        <w:rPr>
          <w:sz w:val="20"/>
          <w:szCs w:val="20"/>
        </w:rPr>
      </w:pPr>
      <w:r w:rsidRPr="00727AB8">
        <w:rPr>
          <w:sz w:val="20"/>
          <w:szCs w:val="20"/>
        </w:rPr>
        <w:t xml:space="preserve">Source: </w:t>
      </w:r>
      <w:r w:rsidR="00467EC1" w:rsidRPr="00727AB8">
        <w:rPr>
          <w:sz w:val="20"/>
          <w:szCs w:val="20"/>
        </w:rPr>
        <w:t xml:space="preserve">Survey results of 123 </w:t>
      </w:r>
      <w:r w:rsidR="00E14AAB" w:rsidRPr="00727AB8">
        <w:rPr>
          <w:sz w:val="20"/>
          <w:szCs w:val="20"/>
        </w:rPr>
        <w:t>respondents in India (2021)</w:t>
      </w:r>
    </w:p>
    <w:p w14:paraId="5F35A26C" w14:textId="398999D2" w:rsidR="00100FA5" w:rsidRPr="00727AB8" w:rsidRDefault="002D7DCB" w:rsidP="00727AB8">
      <w:pPr>
        <w:pStyle w:val="BodyText"/>
        <w:spacing w:line="252" w:lineRule="auto"/>
        <w:ind w:firstLine="0"/>
        <w:rPr>
          <w:b/>
          <w:bCs/>
        </w:rPr>
      </w:pPr>
      <w:r w:rsidRPr="00727AB8">
        <w:rPr>
          <w:b/>
          <w:bCs/>
        </w:rPr>
        <w:t>Table 6</w:t>
      </w:r>
    </w:p>
    <w:p w14:paraId="27A4E626" w14:textId="10128833" w:rsidR="00100FA5" w:rsidRPr="00727AB8" w:rsidRDefault="002D7DCB" w:rsidP="00727AB8">
      <w:pPr>
        <w:pStyle w:val="BodyText"/>
        <w:spacing w:after="120" w:line="252" w:lineRule="auto"/>
        <w:ind w:firstLine="0"/>
      </w:pPr>
      <w:r w:rsidRPr="00727AB8">
        <w:t>Distribution of respondents by industry</w:t>
      </w:r>
    </w:p>
    <w:tbl>
      <w:tblPr>
        <w:tblStyle w:val="TableGrid"/>
        <w:tblW w:w="9299" w:type="dxa"/>
        <w:jc w:val="center"/>
        <w:tblLayout w:type="fixed"/>
        <w:tblCellMar>
          <w:left w:w="57" w:type="dxa"/>
          <w:right w:w="57" w:type="dxa"/>
        </w:tblCellMar>
        <w:tblLook w:val="04A0" w:firstRow="1" w:lastRow="0" w:firstColumn="1" w:lastColumn="0" w:noHBand="0" w:noVBand="1"/>
      </w:tblPr>
      <w:tblGrid>
        <w:gridCol w:w="4024"/>
        <w:gridCol w:w="2327"/>
        <w:gridCol w:w="2948"/>
      </w:tblGrid>
      <w:tr w:rsidR="00727AB8" w:rsidRPr="00727AB8" w14:paraId="42DBA896" w14:textId="77777777" w:rsidTr="002A352C">
        <w:trPr>
          <w:trHeight w:val="311"/>
          <w:tblHeader/>
          <w:jc w:val="center"/>
        </w:trPr>
        <w:tc>
          <w:tcPr>
            <w:tcW w:w="4072" w:type="dxa"/>
            <w:noWrap/>
            <w:vAlign w:val="bottom"/>
            <w:hideMark/>
          </w:tcPr>
          <w:p w14:paraId="0E481EE1" w14:textId="77777777" w:rsidR="002D7DCB" w:rsidRPr="00727AB8" w:rsidRDefault="002D7DCB" w:rsidP="00727AB8">
            <w:pPr>
              <w:widowControl w:val="0"/>
              <w:spacing w:before="60" w:after="60"/>
              <w:jc w:val="center"/>
              <w:rPr>
                <w:b/>
                <w:bCs/>
                <w:sz w:val="24"/>
                <w:lang w:val="en-IN" w:eastAsia="en-GB"/>
              </w:rPr>
            </w:pPr>
            <w:r w:rsidRPr="00727AB8">
              <w:rPr>
                <w:b/>
                <w:bCs/>
                <w:sz w:val="24"/>
              </w:rPr>
              <w:t>Industry</w:t>
            </w:r>
          </w:p>
        </w:tc>
        <w:tc>
          <w:tcPr>
            <w:tcW w:w="2354" w:type="dxa"/>
            <w:noWrap/>
            <w:vAlign w:val="bottom"/>
            <w:hideMark/>
          </w:tcPr>
          <w:p w14:paraId="7FD54B5E" w14:textId="77777777" w:rsidR="002D7DCB" w:rsidRPr="00727AB8" w:rsidRDefault="002D7DCB" w:rsidP="00727AB8">
            <w:pPr>
              <w:widowControl w:val="0"/>
              <w:spacing w:before="60" w:after="60"/>
              <w:jc w:val="center"/>
              <w:rPr>
                <w:b/>
                <w:bCs/>
                <w:sz w:val="24"/>
                <w:lang w:val="en-IN" w:eastAsia="en-GB"/>
              </w:rPr>
            </w:pPr>
            <w:r w:rsidRPr="00727AB8">
              <w:rPr>
                <w:b/>
                <w:bCs/>
                <w:sz w:val="24"/>
              </w:rPr>
              <w:t># Of Respondents</w:t>
            </w:r>
          </w:p>
        </w:tc>
        <w:tc>
          <w:tcPr>
            <w:tcW w:w="2982" w:type="dxa"/>
            <w:noWrap/>
            <w:vAlign w:val="bottom"/>
            <w:hideMark/>
          </w:tcPr>
          <w:p w14:paraId="34B946BE" w14:textId="77777777" w:rsidR="002D7DCB" w:rsidRPr="00727AB8" w:rsidRDefault="002D7DCB" w:rsidP="00727AB8">
            <w:pPr>
              <w:widowControl w:val="0"/>
              <w:spacing w:before="60" w:after="60"/>
              <w:jc w:val="center"/>
              <w:rPr>
                <w:b/>
                <w:bCs/>
                <w:sz w:val="24"/>
                <w:lang w:val="en-IN" w:eastAsia="en-GB"/>
              </w:rPr>
            </w:pPr>
            <w:r w:rsidRPr="00727AB8">
              <w:rPr>
                <w:b/>
                <w:bCs/>
                <w:sz w:val="24"/>
              </w:rPr>
              <w:t>% Of Respondents</w:t>
            </w:r>
          </w:p>
        </w:tc>
      </w:tr>
      <w:tr w:rsidR="00727AB8" w:rsidRPr="00727AB8" w14:paraId="7EE7FA70" w14:textId="77777777" w:rsidTr="002A352C">
        <w:trPr>
          <w:trHeight w:val="311"/>
          <w:jc w:val="center"/>
        </w:trPr>
        <w:tc>
          <w:tcPr>
            <w:tcW w:w="4072" w:type="dxa"/>
            <w:noWrap/>
            <w:vAlign w:val="bottom"/>
            <w:hideMark/>
          </w:tcPr>
          <w:p w14:paraId="7FDF59DB" w14:textId="77777777" w:rsidR="002D7DCB" w:rsidRPr="00727AB8" w:rsidRDefault="002D7DCB" w:rsidP="00727AB8">
            <w:pPr>
              <w:widowControl w:val="0"/>
              <w:spacing w:before="60" w:after="60"/>
              <w:jc w:val="center"/>
              <w:rPr>
                <w:sz w:val="24"/>
                <w:lang w:val="en-IN" w:eastAsia="en-GB"/>
              </w:rPr>
            </w:pPr>
            <w:r w:rsidRPr="00727AB8">
              <w:rPr>
                <w:sz w:val="24"/>
              </w:rPr>
              <w:t>Manufacturing</w:t>
            </w:r>
          </w:p>
        </w:tc>
        <w:tc>
          <w:tcPr>
            <w:tcW w:w="2354" w:type="dxa"/>
            <w:noWrap/>
            <w:vAlign w:val="bottom"/>
            <w:hideMark/>
          </w:tcPr>
          <w:p w14:paraId="36871ED2" w14:textId="77777777" w:rsidR="002D7DCB" w:rsidRPr="00727AB8" w:rsidRDefault="002D7DCB" w:rsidP="00727AB8">
            <w:pPr>
              <w:widowControl w:val="0"/>
              <w:spacing w:before="60" w:after="60"/>
              <w:jc w:val="center"/>
              <w:rPr>
                <w:sz w:val="24"/>
                <w:lang w:val="en-IN" w:eastAsia="en-GB"/>
              </w:rPr>
            </w:pPr>
            <w:r w:rsidRPr="00727AB8">
              <w:rPr>
                <w:sz w:val="24"/>
              </w:rPr>
              <w:t>46</w:t>
            </w:r>
          </w:p>
        </w:tc>
        <w:tc>
          <w:tcPr>
            <w:tcW w:w="2982" w:type="dxa"/>
            <w:noWrap/>
            <w:vAlign w:val="bottom"/>
            <w:hideMark/>
          </w:tcPr>
          <w:p w14:paraId="78B6264B" w14:textId="77777777" w:rsidR="002D7DCB" w:rsidRPr="00727AB8" w:rsidRDefault="002D7DCB" w:rsidP="00727AB8">
            <w:pPr>
              <w:widowControl w:val="0"/>
              <w:spacing w:before="60" w:after="60"/>
              <w:jc w:val="center"/>
              <w:rPr>
                <w:sz w:val="24"/>
                <w:lang w:val="en-IN" w:eastAsia="en-GB"/>
              </w:rPr>
            </w:pPr>
            <w:r w:rsidRPr="00727AB8">
              <w:rPr>
                <w:sz w:val="24"/>
              </w:rPr>
              <w:t>37.4%</w:t>
            </w:r>
          </w:p>
        </w:tc>
      </w:tr>
      <w:tr w:rsidR="00727AB8" w:rsidRPr="00727AB8" w14:paraId="15E85DB7" w14:textId="77777777" w:rsidTr="002A352C">
        <w:trPr>
          <w:trHeight w:val="311"/>
          <w:jc w:val="center"/>
        </w:trPr>
        <w:tc>
          <w:tcPr>
            <w:tcW w:w="4072" w:type="dxa"/>
            <w:noWrap/>
            <w:vAlign w:val="bottom"/>
            <w:hideMark/>
          </w:tcPr>
          <w:p w14:paraId="247F89CF" w14:textId="77777777" w:rsidR="002D7DCB" w:rsidRPr="00727AB8" w:rsidRDefault="002D7DCB" w:rsidP="00727AB8">
            <w:pPr>
              <w:widowControl w:val="0"/>
              <w:spacing w:before="60" w:after="60"/>
              <w:jc w:val="center"/>
              <w:rPr>
                <w:sz w:val="24"/>
                <w:lang w:val="en-IN" w:eastAsia="en-GB"/>
              </w:rPr>
            </w:pPr>
            <w:r w:rsidRPr="00727AB8">
              <w:rPr>
                <w:sz w:val="24"/>
              </w:rPr>
              <w:t>Retail Trade</w:t>
            </w:r>
          </w:p>
        </w:tc>
        <w:tc>
          <w:tcPr>
            <w:tcW w:w="2354" w:type="dxa"/>
            <w:noWrap/>
            <w:vAlign w:val="bottom"/>
            <w:hideMark/>
          </w:tcPr>
          <w:p w14:paraId="4BD68C10" w14:textId="77777777" w:rsidR="002D7DCB" w:rsidRPr="00727AB8" w:rsidRDefault="002D7DCB" w:rsidP="00727AB8">
            <w:pPr>
              <w:widowControl w:val="0"/>
              <w:spacing w:before="60" w:after="60"/>
              <w:jc w:val="center"/>
              <w:rPr>
                <w:sz w:val="24"/>
                <w:lang w:val="en-IN" w:eastAsia="en-GB"/>
              </w:rPr>
            </w:pPr>
            <w:r w:rsidRPr="00727AB8">
              <w:rPr>
                <w:sz w:val="24"/>
              </w:rPr>
              <w:t>21</w:t>
            </w:r>
          </w:p>
        </w:tc>
        <w:tc>
          <w:tcPr>
            <w:tcW w:w="2982" w:type="dxa"/>
            <w:noWrap/>
            <w:vAlign w:val="bottom"/>
            <w:hideMark/>
          </w:tcPr>
          <w:p w14:paraId="00C80EB1" w14:textId="77777777" w:rsidR="002D7DCB" w:rsidRPr="00727AB8" w:rsidRDefault="002D7DCB" w:rsidP="00727AB8">
            <w:pPr>
              <w:widowControl w:val="0"/>
              <w:spacing w:before="60" w:after="60"/>
              <w:jc w:val="center"/>
              <w:rPr>
                <w:sz w:val="24"/>
                <w:lang w:val="en-IN" w:eastAsia="en-GB"/>
              </w:rPr>
            </w:pPr>
            <w:r w:rsidRPr="00727AB8">
              <w:rPr>
                <w:sz w:val="24"/>
              </w:rPr>
              <w:t>17.1%</w:t>
            </w:r>
          </w:p>
        </w:tc>
      </w:tr>
      <w:tr w:rsidR="00727AB8" w:rsidRPr="00727AB8" w14:paraId="6F8B7A03" w14:textId="77777777" w:rsidTr="002A352C">
        <w:trPr>
          <w:trHeight w:val="311"/>
          <w:jc w:val="center"/>
        </w:trPr>
        <w:tc>
          <w:tcPr>
            <w:tcW w:w="4072" w:type="dxa"/>
            <w:noWrap/>
            <w:vAlign w:val="bottom"/>
          </w:tcPr>
          <w:p w14:paraId="0E5FFEEA" w14:textId="77777777" w:rsidR="002D7DCB" w:rsidRPr="00727AB8" w:rsidRDefault="002D7DCB" w:rsidP="00727AB8">
            <w:pPr>
              <w:widowControl w:val="0"/>
              <w:spacing w:before="60" w:after="60"/>
              <w:jc w:val="center"/>
              <w:rPr>
                <w:sz w:val="24"/>
              </w:rPr>
            </w:pPr>
            <w:r w:rsidRPr="00727AB8">
              <w:rPr>
                <w:sz w:val="24"/>
              </w:rPr>
              <w:t>Wholesale Trade</w:t>
            </w:r>
          </w:p>
        </w:tc>
        <w:tc>
          <w:tcPr>
            <w:tcW w:w="2354" w:type="dxa"/>
            <w:noWrap/>
            <w:vAlign w:val="bottom"/>
          </w:tcPr>
          <w:p w14:paraId="13C3164A" w14:textId="77777777" w:rsidR="002D7DCB" w:rsidRPr="00727AB8" w:rsidRDefault="002D7DCB" w:rsidP="00727AB8">
            <w:pPr>
              <w:widowControl w:val="0"/>
              <w:spacing w:before="60" w:after="60"/>
              <w:jc w:val="center"/>
              <w:rPr>
                <w:sz w:val="24"/>
              </w:rPr>
            </w:pPr>
            <w:r w:rsidRPr="00727AB8">
              <w:rPr>
                <w:sz w:val="24"/>
              </w:rPr>
              <w:t>12</w:t>
            </w:r>
          </w:p>
        </w:tc>
        <w:tc>
          <w:tcPr>
            <w:tcW w:w="2982" w:type="dxa"/>
            <w:noWrap/>
            <w:vAlign w:val="bottom"/>
          </w:tcPr>
          <w:p w14:paraId="3E3AC45A" w14:textId="77777777" w:rsidR="002D7DCB" w:rsidRPr="00727AB8" w:rsidRDefault="002D7DCB" w:rsidP="00727AB8">
            <w:pPr>
              <w:widowControl w:val="0"/>
              <w:spacing w:before="60" w:after="60"/>
              <w:jc w:val="center"/>
              <w:rPr>
                <w:sz w:val="24"/>
              </w:rPr>
            </w:pPr>
            <w:r w:rsidRPr="00727AB8">
              <w:rPr>
                <w:sz w:val="24"/>
              </w:rPr>
              <w:t>9.8%</w:t>
            </w:r>
          </w:p>
        </w:tc>
      </w:tr>
      <w:tr w:rsidR="00727AB8" w:rsidRPr="00727AB8" w14:paraId="4FBA2EEF" w14:textId="77777777" w:rsidTr="002A352C">
        <w:trPr>
          <w:trHeight w:val="311"/>
          <w:jc w:val="center"/>
        </w:trPr>
        <w:tc>
          <w:tcPr>
            <w:tcW w:w="4072" w:type="dxa"/>
            <w:noWrap/>
            <w:vAlign w:val="bottom"/>
            <w:hideMark/>
          </w:tcPr>
          <w:p w14:paraId="54D4A7FF" w14:textId="77777777" w:rsidR="002D7DCB" w:rsidRPr="00727AB8" w:rsidRDefault="002D7DCB" w:rsidP="00727AB8">
            <w:pPr>
              <w:widowControl w:val="0"/>
              <w:spacing w:before="60" w:after="60"/>
              <w:jc w:val="center"/>
              <w:rPr>
                <w:sz w:val="24"/>
                <w:lang w:val="en-IN" w:eastAsia="en-GB"/>
              </w:rPr>
            </w:pPr>
            <w:r w:rsidRPr="00727AB8">
              <w:rPr>
                <w:sz w:val="24"/>
              </w:rPr>
              <w:t>Services</w:t>
            </w:r>
          </w:p>
        </w:tc>
        <w:tc>
          <w:tcPr>
            <w:tcW w:w="2354" w:type="dxa"/>
            <w:noWrap/>
            <w:vAlign w:val="bottom"/>
            <w:hideMark/>
          </w:tcPr>
          <w:p w14:paraId="7D3DB27B" w14:textId="77777777" w:rsidR="002D7DCB" w:rsidRPr="00727AB8" w:rsidRDefault="002D7DCB" w:rsidP="00727AB8">
            <w:pPr>
              <w:widowControl w:val="0"/>
              <w:spacing w:before="60" w:after="60"/>
              <w:jc w:val="center"/>
              <w:rPr>
                <w:sz w:val="24"/>
                <w:lang w:val="en-IN" w:eastAsia="en-GB"/>
              </w:rPr>
            </w:pPr>
            <w:r w:rsidRPr="00727AB8">
              <w:rPr>
                <w:sz w:val="24"/>
              </w:rPr>
              <w:t>44</w:t>
            </w:r>
          </w:p>
        </w:tc>
        <w:tc>
          <w:tcPr>
            <w:tcW w:w="2982" w:type="dxa"/>
            <w:noWrap/>
            <w:vAlign w:val="bottom"/>
            <w:hideMark/>
          </w:tcPr>
          <w:p w14:paraId="42F51883" w14:textId="77777777" w:rsidR="002D7DCB" w:rsidRPr="00727AB8" w:rsidRDefault="002D7DCB" w:rsidP="00727AB8">
            <w:pPr>
              <w:widowControl w:val="0"/>
              <w:spacing w:before="60" w:after="60"/>
              <w:jc w:val="center"/>
              <w:rPr>
                <w:sz w:val="24"/>
                <w:lang w:val="en-IN" w:eastAsia="en-GB"/>
              </w:rPr>
            </w:pPr>
            <w:r w:rsidRPr="00727AB8">
              <w:rPr>
                <w:sz w:val="24"/>
              </w:rPr>
              <w:t>35.8%</w:t>
            </w:r>
          </w:p>
        </w:tc>
      </w:tr>
      <w:tr w:rsidR="00727AB8" w:rsidRPr="00727AB8" w14:paraId="0917135E" w14:textId="77777777" w:rsidTr="002A352C">
        <w:trPr>
          <w:trHeight w:val="311"/>
          <w:jc w:val="center"/>
        </w:trPr>
        <w:tc>
          <w:tcPr>
            <w:tcW w:w="4072" w:type="dxa"/>
            <w:noWrap/>
            <w:vAlign w:val="bottom"/>
          </w:tcPr>
          <w:p w14:paraId="34A75C65" w14:textId="77777777" w:rsidR="002D7DCB" w:rsidRPr="00727AB8" w:rsidRDefault="002D7DCB" w:rsidP="00727AB8">
            <w:pPr>
              <w:widowControl w:val="0"/>
              <w:spacing w:before="60" w:after="60"/>
              <w:jc w:val="center"/>
              <w:rPr>
                <w:b/>
                <w:bCs/>
                <w:sz w:val="24"/>
              </w:rPr>
            </w:pPr>
            <w:r w:rsidRPr="00727AB8">
              <w:rPr>
                <w:b/>
                <w:bCs/>
                <w:sz w:val="24"/>
              </w:rPr>
              <w:t>Grand Total</w:t>
            </w:r>
          </w:p>
        </w:tc>
        <w:tc>
          <w:tcPr>
            <w:tcW w:w="2354" w:type="dxa"/>
            <w:noWrap/>
            <w:vAlign w:val="bottom"/>
          </w:tcPr>
          <w:p w14:paraId="139052CE" w14:textId="77777777" w:rsidR="002D7DCB" w:rsidRPr="00727AB8" w:rsidRDefault="002D7DCB" w:rsidP="00727AB8">
            <w:pPr>
              <w:widowControl w:val="0"/>
              <w:spacing w:before="60" w:after="60"/>
              <w:jc w:val="center"/>
              <w:rPr>
                <w:b/>
                <w:bCs/>
                <w:sz w:val="24"/>
              </w:rPr>
            </w:pPr>
            <w:r w:rsidRPr="00727AB8">
              <w:rPr>
                <w:b/>
                <w:bCs/>
                <w:sz w:val="24"/>
              </w:rPr>
              <w:t>123</w:t>
            </w:r>
          </w:p>
        </w:tc>
        <w:tc>
          <w:tcPr>
            <w:tcW w:w="2982" w:type="dxa"/>
            <w:noWrap/>
            <w:vAlign w:val="bottom"/>
          </w:tcPr>
          <w:p w14:paraId="22C56096" w14:textId="77777777" w:rsidR="002D7DCB" w:rsidRPr="00727AB8" w:rsidRDefault="002D7DCB" w:rsidP="00727AB8">
            <w:pPr>
              <w:widowControl w:val="0"/>
              <w:spacing w:before="60" w:after="60"/>
              <w:jc w:val="center"/>
              <w:rPr>
                <w:b/>
                <w:bCs/>
                <w:sz w:val="24"/>
              </w:rPr>
            </w:pPr>
            <w:r w:rsidRPr="00727AB8">
              <w:rPr>
                <w:b/>
                <w:bCs/>
                <w:sz w:val="24"/>
              </w:rPr>
              <w:t>100%</w:t>
            </w:r>
          </w:p>
        </w:tc>
      </w:tr>
    </w:tbl>
    <w:p w14:paraId="5B525802" w14:textId="07422D87" w:rsidR="00100FA5" w:rsidRPr="00727AB8" w:rsidRDefault="00100FA5" w:rsidP="00727AB8">
      <w:pPr>
        <w:pStyle w:val="BodyText"/>
        <w:spacing w:line="252" w:lineRule="auto"/>
        <w:ind w:firstLine="0"/>
        <w:rPr>
          <w:sz w:val="20"/>
          <w:szCs w:val="20"/>
        </w:rPr>
      </w:pPr>
      <w:r w:rsidRPr="00727AB8">
        <w:rPr>
          <w:sz w:val="20"/>
          <w:szCs w:val="20"/>
        </w:rPr>
        <w:t xml:space="preserve">Source: </w:t>
      </w:r>
      <w:r w:rsidR="003E7477" w:rsidRPr="00727AB8">
        <w:rPr>
          <w:sz w:val="20"/>
          <w:szCs w:val="20"/>
        </w:rPr>
        <w:t xml:space="preserve"> Survey results of 123 respondents in India (2021)</w:t>
      </w:r>
    </w:p>
    <w:p w14:paraId="01269374" w14:textId="33CDFD74" w:rsidR="00100FA5" w:rsidRPr="00727AB8" w:rsidRDefault="00B61765" w:rsidP="00727AB8">
      <w:pPr>
        <w:pStyle w:val="BodyText"/>
        <w:spacing w:line="252" w:lineRule="auto"/>
        <w:ind w:firstLine="0"/>
        <w:rPr>
          <w:b/>
          <w:bCs/>
        </w:rPr>
      </w:pPr>
      <w:r w:rsidRPr="00727AB8">
        <w:rPr>
          <w:b/>
          <w:bCs/>
        </w:rPr>
        <w:t>Table 7</w:t>
      </w:r>
    </w:p>
    <w:p w14:paraId="3FF376FF" w14:textId="0429A81A" w:rsidR="00100FA5" w:rsidRPr="00727AB8" w:rsidRDefault="00B61765" w:rsidP="00727AB8">
      <w:pPr>
        <w:pStyle w:val="BodyText"/>
        <w:spacing w:after="120" w:line="252" w:lineRule="auto"/>
        <w:ind w:firstLine="0"/>
      </w:pPr>
      <w:r w:rsidRPr="00727AB8">
        <w:t>Distribution of respondents by years of experience</w:t>
      </w:r>
    </w:p>
    <w:tbl>
      <w:tblPr>
        <w:tblStyle w:val="TableGrid"/>
        <w:tblW w:w="9299" w:type="dxa"/>
        <w:jc w:val="center"/>
        <w:tblLayout w:type="fixed"/>
        <w:tblCellMar>
          <w:left w:w="57" w:type="dxa"/>
          <w:right w:w="57" w:type="dxa"/>
        </w:tblCellMar>
        <w:tblLook w:val="04A0" w:firstRow="1" w:lastRow="0" w:firstColumn="1" w:lastColumn="0" w:noHBand="0" w:noVBand="1"/>
      </w:tblPr>
      <w:tblGrid>
        <w:gridCol w:w="4025"/>
        <w:gridCol w:w="2327"/>
        <w:gridCol w:w="2947"/>
      </w:tblGrid>
      <w:tr w:rsidR="00727AB8" w:rsidRPr="00727AB8" w14:paraId="0BEC9E65" w14:textId="77777777" w:rsidTr="002A352C">
        <w:trPr>
          <w:cantSplit/>
          <w:trHeight w:val="341"/>
          <w:tblHeader/>
          <w:jc w:val="center"/>
        </w:trPr>
        <w:tc>
          <w:tcPr>
            <w:tcW w:w="4067" w:type="dxa"/>
            <w:noWrap/>
            <w:vAlign w:val="bottom"/>
            <w:hideMark/>
          </w:tcPr>
          <w:p w14:paraId="45D74908" w14:textId="77777777" w:rsidR="00B61765" w:rsidRPr="00727AB8" w:rsidRDefault="00B61765" w:rsidP="00727AB8">
            <w:pPr>
              <w:widowControl w:val="0"/>
              <w:spacing w:before="60" w:after="60"/>
              <w:jc w:val="center"/>
              <w:rPr>
                <w:b/>
                <w:bCs/>
                <w:sz w:val="24"/>
                <w:lang w:val="en-IN" w:eastAsia="en-GB"/>
              </w:rPr>
            </w:pPr>
            <w:r w:rsidRPr="00727AB8">
              <w:rPr>
                <w:b/>
                <w:bCs/>
                <w:sz w:val="24"/>
              </w:rPr>
              <w:t>Experience Range (years)</w:t>
            </w:r>
          </w:p>
        </w:tc>
        <w:tc>
          <w:tcPr>
            <w:tcW w:w="2351" w:type="dxa"/>
            <w:noWrap/>
            <w:vAlign w:val="bottom"/>
            <w:hideMark/>
          </w:tcPr>
          <w:p w14:paraId="6F198049" w14:textId="77777777" w:rsidR="00B61765" w:rsidRPr="00727AB8" w:rsidRDefault="00B61765" w:rsidP="00727AB8">
            <w:pPr>
              <w:widowControl w:val="0"/>
              <w:spacing w:before="60" w:after="60"/>
              <w:jc w:val="center"/>
              <w:rPr>
                <w:b/>
                <w:bCs/>
                <w:sz w:val="24"/>
                <w:lang w:val="en-IN" w:eastAsia="en-GB"/>
              </w:rPr>
            </w:pPr>
            <w:r w:rsidRPr="00727AB8">
              <w:rPr>
                <w:b/>
                <w:bCs/>
                <w:sz w:val="24"/>
              </w:rPr>
              <w:t># Of Respondents</w:t>
            </w:r>
          </w:p>
        </w:tc>
        <w:tc>
          <w:tcPr>
            <w:tcW w:w="2978" w:type="dxa"/>
            <w:noWrap/>
            <w:vAlign w:val="bottom"/>
            <w:hideMark/>
          </w:tcPr>
          <w:p w14:paraId="405B5C31" w14:textId="77777777" w:rsidR="00B61765" w:rsidRPr="00727AB8" w:rsidRDefault="00B61765" w:rsidP="00727AB8">
            <w:pPr>
              <w:widowControl w:val="0"/>
              <w:spacing w:before="60" w:after="60"/>
              <w:jc w:val="center"/>
              <w:rPr>
                <w:b/>
                <w:bCs/>
                <w:sz w:val="24"/>
                <w:lang w:val="en-IN" w:eastAsia="en-GB"/>
              </w:rPr>
            </w:pPr>
            <w:r w:rsidRPr="00727AB8">
              <w:rPr>
                <w:b/>
                <w:bCs/>
                <w:sz w:val="24"/>
              </w:rPr>
              <w:t>% Of Respondents</w:t>
            </w:r>
          </w:p>
        </w:tc>
      </w:tr>
      <w:tr w:rsidR="00727AB8" w:rsidRPr="00727AB8" w14:paraId="38B66748" w14:textId="77777777" w:rsidTr="002A352C">
        <w:trPr>
          <w:cantSplit/>
          <w:trHeight w:val="341"/>
          <w:tblHeader/>
          <w:jc w:val="center"/>
        </w:trPr>
        <w:tc>
          <w:tcPr>
            <w:tcW w:w="4067" w:type="dxa"/>
            <w:noWrap/>
            <w:vAlign w:val="bottom"/>
            <w:hideMark/>
          </w:tcPr>
          <w:p w14:paraId="0F852CF6" w14:textId="77777777" w:rsidR="00B61765" w:rsidRPr="00727AB8" w:rsidRDefault="00B61765" w:rsidP="00727AB8">
            <w:pPr>
              <w:widowControl w:val="0"/>
              <w:spacing w:before="60" w:after="60"/>
              <w:jc w:val="center"/>
              <w:rPr>
                <w:sz w:val="24"/>
                <w:lang w:val="en-IN" w:eastAsia="en-GB"/>
              </w:rPr>
            </w:pPr>
            <w:r w:rsidRPr="00727AB8">
              <w:rPr>
                <w:sz w:val="24"/>
              </w:rPr>
              <w:t>0 - 10</w:t>
            </w:r>
          </w:p>
        </w:tc>
        <w:tc>
          <w:tcPr>
            <w:tcW w:w="2351" w:type="dxa"/>
            <w:noWrap/>
            <w:vAlign w:val="bottom"/>
            <w:hideMark/>
          </w:tcPr>
          <w:p w14:paraId="031A898D" w14:textId="77777777" w:rsidR="00B61765" w:rsidRPr="00727AB8" w:rsidRDefault="00B61765" w:rsidP="00727AB8">
            <w:pPr>
              <w:widowControl w:val="0"/>
              <w:spacing w:before="60" w:after="60"/>
              <w:jc w:val="center"/>
              <w:rPr>
                <w:sz w:val="24"/>
                <w:lang w:val="en-IN" w:eastAsia="en-GB"/>
              </w:rPr>
            </w:pPr>
            <w:r w:rsidRPr="00727AB8">
              <w:rPr>
                <w:sz w:val="24"/>
              </w:rPr>
              <w:t>52</w:t>
            </w:r>
          </w:p>
        </w:tc>
        <w:tc>
          <w:tcPr>
            <w:tcW w:w="2978" w:type="dxa"/>
            <w:noWrap/>
            <w:vAlign w:val="bottom"/>
            <w:hideMark/>
          </w:tcPr>
          <w:p w14:paraId="2C1B91D5" w14:textId="77777777" w:rsidR="00B61765" w:rsidRPr="00727AB8" w:rsidRDefault="00B61765" w:rsidP="00727AB8">
            <w:pPr>
              <w:widowControl w:val="0"/>
              <w:spacing w:before="60" w:after="60"/>
              <w:jc w:val="center"/>
              <w:rPr>
                <w:sz w:val="24"/>
                <w:lang w:val="en-IN" w:eastAsia="en-GB"/>
              </w:rPr>
            </w:pPr>
            <w:r w:rsidRPr="00727AB8">
              <w:rPr>
                <w:sz w:val="24"/>
              </w:rPr>
              <w:t>42.3%</w:t>
            </w:r>
          </w:p>
        </w:tc>
      </w:tr>
      <w:tr w:rsidR="00727AB8" w:rsidRPr="00727AB8" w14:paraId="250570DF" w14:textId="77777777" w:rsidTr="002A352C">
        <w:trPr>
          <w:cantSplit/>
          <w:trHeight w:val="341"/>
          <w:tblHeader/>
          <w:jc w:val="center"/>
        </w:trPr>
        <w:tc>
          <w:tcPr>
            <w:tcW w:w="4067" w:type="dxa"/>
            <w:noWrap/>
            <w:vAlign w:val="bottom"/>
            <w:hideMark/>
          </w:tcPr>
          <w:p w14:paraId="48A509E6" w14:textId="77777777" w:rsidR="00B61765" w:rsidRPr="00727AB8" w:rsidRDefault="00B61765" w:rsidP="00727AB8">
            <w:pPr>
              <w:widowControl w:val="0"/>
              <w:spacing w:before="60" w:after="60"/>
              <w:jc w:val="center"/>
              <w:rPr>
                <w:sz w:val="24"/>
                <w:lang w:val="en-IN" w:eastAsia="en-GB"/>
              </w:rPr>
            </w:pPr>
            <w:r w:rsidRPr="00727AB8">
              <w:rPr>
                <w:sz w:val="24"/>
              </w:rPr>
              <w:t>11 - 20</w:t>
            </w:r>
          </w:p>
        </w:tc>
        <w:tc>
          <w:tcPr>
            <w:tcW w:w="2351" w:type="dxa"/>
            <w:noWrap/>
            <w:vAlign w:val="bottom"/>
            <w:hideMark/>
          </w:tcPr>
          <w:p w14:paraId="7E79A719" w14:textId="77777777" w:rsidR="00B61765" w:rsidRPr="00727AB8" w:rsidRDefault="00B61765" w:rsidP="00727AB8">
            <w:pPr>
              <w:widowControl w:val="0"/>
              <w:spacing w:before="60" w:after="60"/>
              <w:jc w:val="center"/>
              <w:rPr>
                <w:sz w:val="24"/>
                <w:lang w:val="en-IN" w:eastAsia="en-GB"/>
              </w:rPr>
            </w:pPr>
            <w:r w:rsidRPr="00727AB8">
              <w:rPr>
                <w:sz w:val="24"/>
              </w:rPr>
              <w:t>67</w:t>
            </w:r>
          </w:p>
        </w:tc>
        <w:tc>
          <w:tcPr>
            <w:tcW w:w="2978" w:type="dxa"/>
            <w:noWrap/>
            <w:vAlign w:val="bottom"/>
            <w:hideMark/>
          </w:tcPr>
          <w:p w14:paraId="1C0C7587" w14:textId="77777777" w:rsidR="00B61765" w:rsidRPr="00727AB8" w:rsidRDefault="00B61765" w:rsidP="00727AB8">
            <w:pPr>
              <w:widowControl w:val="0"/>
              <w:spacing w:before="60" w:after="60"/>
              <w:jc w:val="center"/>
              <w:rPr>
                <w:sz w:val="24"/>
                <w:lang w:val="en-IN" w:eastAsia="en-GB"/>
              </w:rPr>
            </w:pPr>
            <w:r w:rsidRPr="00727AB8">
              <w:rPr>
                <w:sz w:val="24"/>
              </w:rPr>
              <w:t>54.5%</w:t>
            </w:r>
          </w:p>
        </w:tc>
      </w:tr>
      <w:tr w:rsidR="00727AB8" w:rsidRPr="00727AB8" w14:paraId="2C120213" w14:textId="77777777" w:rsidTr="002A352C">
        <w:trPr>
          <w:cantSplit/>
          <w:trHeight w:val="341"/>
          <w:tblHeader/>
          <w:jc w:val="center"/>
        </w:trPr>
        <w:tc>
          <w:tcPr>
            <w:tcW w:w="4067" w:type="dxa"/>
            <w:noWrap/>
            <w:vAlign w:val="bottom"/>
            <w:hideMark/>
          </w:tcPr>
          <w:p w14:paraId="5CC7D0A9" w14:textId="77777777" w:rsidR="00B61765" w:rsidRPr="00727AB8" w:rsidRDefault="00B61765" w:rsidP="00727AB8">
            <w:pPr>
              <w:widowControl w:val="0"/>
              <w:spacing w:before="60" w:after="60"/>
              <w:jc w:val="center"/>
              <w:rPr>
                <w:sz w:val="24"/>
                <w:lang w:val="en-IN" w:eastAsia="en-GB"/>
              </w:rPr>
            </w:pPr>
            <w:r w:rsidRPr="00727AB8">
              <w:rPr>
                <w:sz w:val="24"/>
              </w:rPr>
              <w:t>21+</w:t>
            </w:r>
          </w:p>
        </w:tc>
        <w:tc>
          <w:tcPr>
            <w:tcW w:w="2351" w:type="dxa"/>
            <w:noWrap/>
            <w:vAlign w:val="bottom"/>
            <w:hideMark/>
          </w:tcPr>
          <w:p w14:paraId="789CBF54" w14:textId="77777777" w:rsidR="00B61765" w:rsidRPr="00727AB8" w:rsidRDefault="00B61765" w:rsidP="00727AB8">
            <w:pPr>
              <w:widowControl w:val="0"/>
              <w:spacing w:before="60" w:after="60"/>
              <w:jc w:val="center"/>
              <w:rPr>
                <w:sz w:val="24"/>
                <w:lang w:val="en-IN" w:eastAsia="en-GB"/>
              </w:rPr>
            </w:pPr>
            <w:r w:rsidRPr="00727AB8">
              <w:rPr>
                <w:sz w:val="24"/>
              </w:rPr>
              <w:t>4</w:t>
            </w:r>
          </w:p>
        </w:tc>
        <w:tc>
          <w:tcPr>
            <w:tcW w:w="2978" w:type="dxa"/>
            <w:noWrap/>
            <w:vAlign w:val="bottom"/>
            <w:hideMark/>
          </w:tcPr>
          <w:p w14:paraId="3064F4D9" w14:textId="77777777" w:rsidR="00B61765" w:rsidRPr="00727AB8" w:rsidRDefault="00B61765" w:rsidP="00727AB8">
            <w:pPr>
              <w:widowControl w:val="0"/>
              <w:spacing w:before="60" w:after="60"/>
              <w:jc w:val="center"/>
              <w:rPr>
                <w:sz w:val="24"/>
                <w:lang w:val="en-IN" w:eastAsia="en-GB"/>
              </w:rPr>
            </w:pPr>
            <w:r w:rsidRPr="00727AB8">
              <w:rPr>
                <w:sz w:val="24"/>
              </w:rPr>
              <w:t>3.3%</w:t>
            </w:r>
          </w:p>
        </w:tc>
      </w:tr>
      <w:tr w:rsidR="00727AB8" w:rsidRPr="00727AB8" w14:paraId="7094F62A" w14:textId="77777777" w:rsidTr="002A352C">
        <w:trPr>
          <w:cantSplit/>
          <w:trHeight w:val="341"/>
          <w:tblHeader/>
          <w:jc w:val="center"/>
        </w:trPr>
        <w:tc>
          <w:tcPr>
            <w:tcW w:w="4067" w:type="dxa"/>
            <w:noWrap/>
            <w:vAlign w:val="bottom"/>
            <w:hideMark/>
          </w:tcPr>
          <w:p w14:paraId="49E65331" w14:textId="77777777" w:rsidR="00B61765" w:rsidRPr="00727AB8" w:rsidRDefault="00B61765" w:rsidP="00727AB8">
            <w:pPr>
              <w:widowControl w:val="0"/>
              <w:spacing w:before="60" w:after="60"/>
              <w:jc w:val="center"/>
              <w:rPr>
                <w:b/>
                <w:bCs/>
                <w:sz w:val="24"/>
                <w:lang w:val="en-IN" w:eastAsia="en-GB"/>
              </w:rPr>
            </w:pPr>
            <w:r w:rsidRPr="00727AB8">
              <w:rPr>
                <w:b/>
                <w:bCs/>
                <w:sz w:val="24"/>
              </w:rPr>
              <w:t>Grand Total</w:t>
            </w:r>
          </w:p>
        </w:tc>
        <w:tc>
          <w:tcPr>
            <w:tcW w:w="2351" w:type="dxa"/>
            <w:noWrap/>
            <w:vAlign w:val="bottom"/>
            <w:hideMark/>
          </w:tcPr>
          <w:p w14:paraId="241252CC" w14:textId="77777777" w:rsidR="00B61765" w:rsidRPr="00727AB8" w:rsidRDefault="00B61765" w:rsidP="00727AB8">
            <w:pPr>
              <w:widowControl w:val="0"/>
              <w:spacing w:before="60" w:after="60"/>
              <w:jc w:val="center"/>
              <w:rPr>
                <w:b/>
                <w:bCs/>
                <w:sz w:val="24"/>
                <w:lang w:val="en-IN" w:eastAsia="en-GB"/>
              </w:rPr>
            </w:pPr>
            <w:r w:rsidRPr="00727AB8">
              <w:rPr>
                <w:b/>
                <w:bCs/>
                <w:sz w:val="24"/>
              </w:rPr>
              <w:t>123</w:t>
            </w:r>
          </w:p>
        </w:tc>
        <w:tc>
          <w:tcPr>
            <w:tcW w:w="2978" w:type="dxa"/>
            <w:noWrap/>
            <w:vAlign w:val="bottom"/>
            <w:hideMark/>
          </w:tcPr>
          <w:p w14:paraId="6DFF2756" w14:textId="77777777" w:rsidR="00B61765" w:rsidRPr="00727AB8" w:rsidRDefault="00B61765" w:rsidP="00727AB8">
            <w:pPr>
              <w:widowControl w:val="0"/>
              <w:spacing w:before="60" w:after="60"/>
              <w:jc w:val="center"/>
              <w:rPr>
                <w:b/>
                <w:bCs/>
                <w:sz w:val="24"/>
                <w:lang w:val="en-IN" w:eastAsia="en-GB"/>
              </w:rPr>
            </w:pPr>
            <w:r w:rsidRPr="00727AB8">
              <w:rPr>
                <w:b/>
                <w:bCs/>
                <w:sz w:val="24"/>
              </w:rPr>
              <w:t>100.0%</w:t>
            </w:r>
          </w:p>
        </w:tc>
      </w:tr>
    </w:tbl>
    <w:p w14:paraId="1C92AF5B" w14:textId="76B7CDEF" w:rsidR="00100FA5" w:rsidRPr="00727AB8" w:rsidRDefault="00100FA5" w:rsidP="00727AB8">
      <w:pPr>
        <w:pStyle w:val="BodyText"/>
        <w:spacing w:line="252" w:lineRule="auto"/>
        <w:ind w:firstLine="0"/>
        <w:rPr>
          <w:sz w:val="20"/>
          <w:szCs w:val="20"/>
        </w:rPr>
      </w:pPr>
      <w:r w:rsidRPr="00727AB8">
        <w:rPr>
          <w:sz w:val="20"/>
          <w:szCs w:val="20"/>
        </w:rPr>
        <w:t xml:space="preserve">Source: </w:t>
      </w:r>
      <w:r w:rsidR="003E7477" w:rsidRPr="00727AB8">
        <w:rPr>
          <w:sz w:val="20"/>
          <w:szCs w:val="20"/>
        </w:rPr>
        <w:t xml:space="preserve"> Survey results of 123 respondents in India (2021)</w:t>
      </w:r>
    </w:p>
    <w:p w14:paraId="00F27A27" w14:textId="063C3A3E" w:rsidR="00B61765" w:rsidRPr="00727AB8" w:rsidRDefault="009162FA" w:rsidP="002A352C">
      <w:pPr>
        <w:pStyle w:val="Heading2"/>
        <w:spacing w:before="240" w:line="252" w:lineRule="auto"/>
        <w:rPr>
          <w:rFonts w:ascii="Times New Roman" w:hAnsi="Times New Roman"/>
        </w:rPr>
      </w:pPr>
      <w:r w:rsidRPr="00727AB8">
        <w:rPr>
          <w:rFonts w:ascii="Times New Roman" w:hAnsi="Times New Roman"/>
        </w:rPr>
        <w:t>3.7.</w:t>
      </w:r>
      <w:r w:rsidR="00B61765" w:rsidRPr="00727AB8">
        <w:rPr>
          <w:rFonts w:ascii="Times New Roman" w:hAnsi="Times New Roman"/>
        </w:rPr>
        <w:t xml:space="preserve"> Assessing reliability and validity </w:t>
      </w:r>
    </w:p>
    <w:p w14:paraId="218C844B" w14:textId="3E1DD974" w:rsidR="00100FA5" w:rsidRPr="00727AB8" w:rsidRDefault="00B61765" w:rsidP="002A352C">
      <w:pPr>
        <w:pStyle w:val="BodyText"/>
        <w:spacing w:line="252" w:lineRule="auto"/>
        <w:rPr>
          <w:lang w:val="en-GB"/>
        </w:rPr>
      </w:pPr>
      <w:r w:rsidRPr="00727AB8">
        <w:rPr>
          <w:lang w:val="en-GB"/>
        </w:rPr>
        <w:t xml:space="preserve">The scale has been assessed for reliability and validity using the licensed version of ADANCO 2.2.1 software. Since the measurement model is reflective, consistent PLS (Dijkstra </w:t>
      </w:r>
      <w:r w:rsidR="00DA78E8" w:rsidRPr="00727AB8">
        <w:rPr>
          <w:lang w:val="en-GB"/>
        </w:rPr>
        <w:t>&amp;</w:t>
      </w:r>
      <w:r w:rsidRPr="00727AB8">
        <w:rPr>
          <w:lang w:val="en-GB"/>
        </w:rPr>
        <w:t xml:space="preserve"> Henseler, 2015) has been used to obtain consistent loadings. It is to be noted that if “Mode A consistent” is used as the weighting scheme for all the constructs, ADANCO performs a Confirmatory Factor Analysis </w:t>
      </w:r>
      <w:r w:rsidRPr="00727AB8">
        <w:rPr>
          <w:lang w:val="en-IN"/>
        </w:rPr>
        <w:t xml:space="preserve">(Henseler, 2017). </w:t>
      </w:r>
      <w:r w:rsidRPr="00727AB8">
        <w:rPr>
          <w:lang w:val="en-GB"/>
        </w:rPr>
        <w:t>The results are discussed in the section below.</w:t>
      </w:r>
    </w:p>
    <w:p w14:paraId="26239451" w14:textId="3F1EE527" w:rsidR="002C4294" w:rsidRPr="00727AB8" w:rsidRDefault="002C4294" w:rsidP="002A352C">
      <w:pPr>
        <w:pStyle w:val="Heading1"/>
        <w:spacing w:line="252" w:lineRule="auto"/>
      </w:pPr>
      <w:r w:rsidRPr="00727AB8">
        <w:t xml:space="preserve">4. </w:t>
      </w:r>
      <w:r w:rsidR="00B61765" w:rsidRPr="00727AB8">
        <w:t>Research results</w:t>
      </w:r>
    </w:p>
    <w:p w14:paraId="75204324" w14:textId="694136A5" w:rsidR="00B61765" w:rsidRPr="00727AB8" w:rsidRDefault="00B61765" w:rsidP="002A352C">
      <w:pPr>
        <w:pStyle w:val="BodyText"/>
        <w:spacing w:line="252" w:lineRule="auto"/>
        <w:rPr>
          <w:lang w:val="en-GB"/>
        </w:rPr>
      </w:pPr>
      <w:r w:rsidRPr="00727AB8">
        <w:rPr>
          <w:lang w:val="en-GB"/>
        </w:rPr>
        <w:t xml:space="preserve">First, for testing the reliability of the scale, the construct’s internal consistency reliability was measured. Cronbach’s α-value and Composite Reliability (CR) were used to check the reliability. As mentioned in </w:t>
      </w:r>
      <w:r w:rsidR="009162FA" w:rsidRPr="00727AB8">
        <w:rPr>
          <w:lang w:val="en-GB"/>
        </w:rPr>
        <w:t>Table</w:t>
      </w:r>
      <w:r w:rsidRPr="00727AB8">
        <w:rPr>
          <w:lang w:val="en-GB"/>
        </w:rPr>
        <w:t xml:space="preserve"> 8, all factors have Cronbach’s α-value greater than 0.7 and CR </w:t>
      </w:r>
      <w:r w:rsidRPr="00727AB8">
        <w:rPr>
          <w:lang w:val="en-GB"/>
        </w:rPr>
        <w:lastRenderedPageBreak/>
        <w:t>values greater than 0.7 (Hair</w:t>
      </w:r>
      <w:r w:rsidR="00DA78E8" w:rsidRPr="00727AB8">
        <w:rPr>
          <w:lang w:val="en-GB"/>
        </w:rPr>
        <w:t>,</w:t>
      </w:r>
      <w:r w:rsidRPr="00727AB8">
        <w:rPr>
          <w:lang w:val="en-GB"/>
        </w:rPr>
        <w:t xml:space="preserve"> </w:t>
      </w:r>
      <w:r w:rsidR="00DA78E8" w:rsidRPr="00727AB8">
        <w:rPr>
          <w:lang w:val="en-GB"/>
        </w:rPr>
        <w:t xml:space="preserve">Sarstedt, Hopkins, &amp; Kuppelwieser, </w:t>
      </w:r>
      <w:r w:rsidRPr="00727AB8">
        <w:rPr>
          <w:lang w:val="en-GB"/>
        </w:rPr>
        <w:t>2014). Second, for validity, each factor was tested for convergent validity and discriminant validity. This study considered the minimum cut-off level of 0.6 for item loading (Ursachi</w:t>
      </w:r>
      <w:r w:rsidR="00DA78E8" w:rsidRPr="00727AB8">
        <w:rPr>
          <w:lang w:val="en-GB"/>
        </w:rPr>
        <w:t>,</w:t>
      </w:r>
      <w:r w:rsidRPr="00727AB8">
        <w:rPr>
          <w:lang w:val="en-GB"/>
        </w:rPr>
        <w:t xml:space="preserve"> </w:t>
      </w:r>
      <w:r w:rsidR="00DA78E8" w:rsidRPr="00727AB8">
        <w:rPr>
          <w:lang w:val="en-GB"/>
        </w:rPr>
        <w:t xml:space="preserve">Horodnic, &amp; Zait, </w:t>
      </w:r>
      <w:r w:rsidRPr="00727AB8">
        <w:rPr>
          <w:lang w:val="en-GB"/>
        </w:rPr>
        <w:t xml:space="preserve">2015). The scale had all items exceeding the 0.6 criteria for item loading as shown in </w:t>
      </w:r>
      <w:r w:rsidR="009162FA" w:rsidRPr="00727AB8">
        <w:rPr>
          <w:lang w:val="en-GB"/>
        </w:rPr>
        <w:t>Table</w:t>
      </w:r>
      <w:r w:rsidRPr="00727AB8">
        <w:rPr>
          <w:lang w:val="en-GB"/>
        </w:rPr>
        <w:t xml:space="preserve"> 8. Also, the </w:t>
      </w:r>
      <w:r w:rsidR="00DA78E8" w:rsidRPr="00727AB8">
        <w:rPr>
          <w:lang w:val="en-GB"/>
        </w:rPr>
        <w:t xml:space="preserve">Average Variance Extracted </w:t>
      </w:r>
      <w:r w:rsidRPr="00727AB8">
        <w:rPr>
          <w:lang w:val="en-GB"/>
        </w:rPr>
        <w:t>(AVE) was checked to assess the internal consistency and all factors met the acceptable criterion for AVE (0.5 or more) (Ursachi et al</w:t>
      </w:r>
      <w:r w:rsidRPr="00727AB8">
        <w:rPr>
          <w:i/>
          <w:iCs/>
          <w:lang w:val="en-GB"/>
        </w:rPr>
        <w:t>.</w:t>
      </w:r>
      <w:r w:rsidRPr="00727AB8">
        <w:rPr>
          <w:lang w:val="en-GB"/>
        </w:rPr>
        <w:t>, 2015).</w:t>
      </w:r>
    </w:p>
    <w:p w14:paraId="71BCBC34" w14:textId="22FBD781" w:rsidR="00B61765" w:rsidRPr="00727AB8" w:rsidRDefault="00B61765" w:rsidP="002A352C">
      <w:pPr>
        <w:pStyle w:val="BodyText"/>
        <w:spacing w:line="252" w:lineRule="auto"/>
        <w:rPr>
          <w:lang w:val="en-GB"/>
        </w:rPr>
      </w:pPr>
      <w:r w:rsidRPr="00727AB8">
        <w:rPr>
          <w:lang w:val="en-GB"/>
        </w:rPr>
        <w:t>For discriminant validity, two methods were used, namely the Fornell and Larcker (1981) criterion and cross-loadings (Hair et al</w:t>
      </w:r>
      <w:r w:rsidRPr="00727AB8">
        <w:rPr>
          <w:i/>
          <w:iCs/>
          <w:lang w:val="en-GB"/>
        </w:rPr>
        <w:t>.</w:t>
      </w:r>
      <w:r w:rsidRPr="00727AB8">
        <w:rPr>
          <w:lang w:val="en-GB"/>
        </w:rPr>
        <w:t xml:space="preserve">, 2014). As mentioned in </w:t>
      </w:r>
      <w:r w:rsidR="009162FA" w:rsidRPr="00727AB8">
        <w:rPr>
          <w:lang w:val="en-GB"/>
        </w:rPr>
        <w:t>Table</w:t>
      </w:r>
      <w:r w:rsidRPr="00727AB8">
        <w:rPr>
          <w:lang w:val="en-GB"/>
        </w:rPr>
        <w:t xml:space="preserve"> 9, the AVE of each factor is higher than the highest squared correlation with any other factor, thereby confirming discriminant validity at the factor level. The second discriminant validity criterion requires that the loadings of each indicator on its factor are higher than the cross-loadings on other factors (Hair et al</w:t>
      </w:r>
      <w:r w:rsidRPr="00727AB8">
        <w:rPr>
          <w:i/>
          <w:iCs/>
          <w:lang w:val="en-GB"/>
        </w:rPr>
        <w:t>.</w:t>
      </w:r>
      <w:r w:rsidRPr="00727AB8">
        <w:rPr>
          <w:lang w:val="en-GB"/>
        </w:rPr>
        <w:t xml:space="preserve">, 2014). As mentioned in </w:t>
      </w:r>
      <w:r w:rsidR="009162FA" w:rsidRPr="00727AB8">
        <w:rPr>
          <w:lang w:val="en-GB"/>
        </w:rPr>
        <w:t>Table</w:t>
      </w:r>
      <w:r w:rsidRPr="00727AB8">
        <w:rPr>
          <w:lang w:val="en-GB"/>
        </w:rPr>
        <w:t xml:space="preserve"> 10, all items loaded higher on the factor being measured than on the other factors. </w:t>
      </w:r>
    </w:p>
    <w:p w14:paraId="219E5657" w14:textId="35C0FAF6" w:rsidR="002C4294" w:rsidRPr="00727AB8" w:rsidRDefault="00B61765" w:rsidP="002A352C">
      <w:pPr>
        <w:pStyle w:val="BodyText"/>
        <w:spacing w:line="252" w:lineRule="auto"/>
      </w:pPr>
      <w:r w:rsidRPr="00727AB8">
        <w:rPr>
          <w:lang w:val="en-GB"/>
        </w:rPr>
        <w:t xml:space="preserve">In addition to assessing reliability and validity, the scale has been studied to evaluate the effects of </w:t>
      </w:r>
      <w:r w:rsidR="00DA78E8" w:rsidRPr="00727AB8">
        <w:rPr>
          <w:lang w:val="en-GB"/>
        </w:rPr>
        <w:t xml:space="preserve">Common Method Variance </w:t>
      </w:r>
      <w:r w:rsidRPr="00727AB8">
        <w:rPr>
          <w:lang w:val="en-GB"/>
        </w:rPr>
        <w:t>(CMV) as it has been established to be a leading contributor to systematic error within survey research (Craighead</w:t>
      </w:r>
      <w:r w:rsidR="00DA78E8" w:rsidRPr="00727AB8">
        <w:rPr>
          <w:lang w:val="en-GB"/>
        </w:rPr>
        <w:t>,</w:t>
      </w:r>
      <w:r w:rsidRPr="00727AB8">
        <w:rPr>
          <w:lang w:val="en-GB"/>
        </w:rPr>
        <w:t xml:space="preserve"> </w:t>
      </w:r>
      <w:r w:rsidR="00DA78E8" w:rsidRPr="00727AB8">
        <w:rPr>
          <w:lang w:val="en-IN"/>
        </w:rPr>
        <w:t>Ketchen, Dunn, &amp; Hult,</w:t>
      </w:r>
      <w:r w:rsidR="00DA78E8" w:rsidRPr="00727AB8">
        <w:rPr>
          <w:lang w:val="en-GB"/>
        </w:rPr>
        <w:t xml:space="preserve"> </w:t>
      </w:r>
      <w:r w:rsidRPr="00727AB8">
        <w:rPr>
          <w:lang w:val="en-GB"/>
        </w:rPr>
        <w:t>2011). Based on the following reasons it has been concluded that CMV is unlikely to be a source of bias. First, given that the study covers a very niche interdisciplinary field, the utmost care has been taken to identify respondents who are SMEs in the field and have demonstrated extensive experience in AI as applicable to the field of SCRM. Hence the potential of CMV has been minimized (Chen</w:t>
      </w:r>
      <w:r w:rsidRPr="00727AB8">
        <w:rPr>
          <w:i/>
          <w:iCs/>
          <w:lang w:val="en-GB"/>
        </w:rPr>
        <w:t xml:space="preserve"> </w:t>
      </w:r>
      <w:r w:rsidRPr="00727AB8">
        <w:rPr>
          <w:lang w:val="en-GB"/>
        </w:rPr>
        <w:t>et al., 2015). Second, as per Harman’s single-factor test conducted, the first factor did not account for most of the variance (Harman, 1967) leading to the conclusion that CMV may not be a problem. Third, qualitative validation (Craighead et al., 2011) by complementing the survey results with qualitative information captured through unstructured interviews of industry SMEs with expertise in risk management and AI consulting respectively has been done and found acceptable.</w:t>
      </w:r>
    </w:p>
    <w:p w14:paraId="7833D0B3" w14:textId="77777777" w:rsidR="00B61765" w:rsidRPr="00727AB8" w:rsidRDefault="00B61765" w:rsidP="00727AB8">
      <w:pPr>
        <w:pStyle w:val="BodyText"/>
        <w:spacing w:line="252" w:lineRule="auto"/>
        <w:ind w:firstLine="0"/>
        <w:rPr>
          <w:b/>
          <w:bCs/>
        </w:rPr>
      </w:pPr>
    </w:p>
    <w:p w14:paraId="3F259561" w14:textId="77777777" w:rsidR="00B61765" w:rsidRPr="00727AB8" w:rsidRDefault="00B61765" w:rsidP="00727AB8">
      <w:pPr>
        <w:pStyle w:val="BodyText"/>
        <w:spacing w:line="252" w:lineRule="auto"/>
        <w:ind w:firstLine="0"/>
        <w:rPr>
          <w:b/>
          <w:bCs/>
        </w:rPr>
      </w:pPr>
    </w:p>
    <w:p w14:paraId="79240EA4" w14:textId="77777777" w:rsidR="00B61765" w:rsidRPr="00727AB8" w:rsidRDefault="00B61765" w:rsidP="00727AB8">
      <w:pPr>
        <w:pStyle w:val="BodyText"/>
        <w:spacing w:line="252" w:lineRule="auto"/>
        <w:ind w:firstLine="0"/>
        <w:rPr>
          <w:b/>
          <w:bCs/>
        </w:rPr>
      </w:pPr>
    </w:p>
    <w:p w14:paraId="3195FEE7" w14:textId="77777777" w:rsidR="00B61765" w:rsidRPr="00727AB8" w:rsidRDefault="00B61765" w:rsidP="00727AB8">
      <w:pPr>
        <w:pStyle w:val="BodyText"/>
        <w:spacing w:line="252" w:lineRule="auto"/>
        <w:ind w:firstLine="0"/>
        <w:rPr>
          <w:b/>
          <w:bCs/>
        </w:rPr>
      </w:pPr>
    </w:p>
    <w:p w14:paraId="035C827A" w14:textId="77777777" w:rsidR="00B61765" w:rsidRPr="00727AB8" w:rsidRDefault="00B61765" w:rsidP="00727AB8">
      <w:pPr>
        <w:pStyle w:val="BodyText"/>
        <w:spacing w:line="252" w:lineRule="auto"/>
        <w:ind w:firstLine="0"/>
        <w:rPr>
          <w:b/>
          <w:bCs/>
        </w:rPr>
      </w:pPr>
    </w:p>
    <w:p w14:paraId="27DB4BA8" w14:textId="77777777" w:rsidR="00B61765" w:rsidRPr="00727AB8" w:rsidRDefault="00B61765" w:rsidP="00727AB8">
      <w:pPr>
        <w:pStyle w:val="BodyText"/>
        <w:spacing w:line="252" w:lineRule="auto"/>
        <w:ind w:firstLine="0"/>
        <w:rPr>
          <w:b/>
          <w:bCs/>
        </w:rPr>
      </w:pPr>
    </w:p>
    <w:p w14:paraId="5C8DC6A0" w14:textId="77777777" w:rsidR="00B61765" w:rsidRPr="00727AB8" w:rsidRDefault="00B61765" w:rsidP="00727AB8">
      <w:pPr>
        <w:pStyle w:val="BodyText"/>
        <w:spacing w:line="252" w:lineRule="auto"/>
        <w:ind w:firstLine="0"/>
        <w:rPr>
          <w:b/>
          <w:bCs/>
        </w:rPr>
      </w:pPr>
    </w:p>
    <w:p w14:paraId="52F6BC59" w14:textId="77777777" w:rsidR="00B61765" w:rsidRPr="00727AB8" w:rsidRDefault="00B61765" w:rsidP="00727AB8">
      <w:pPr>
        <w:pStyle w:val="BodyText"/>
        <w:spacing w:line="252" w:lineRule="auto"/>
        <w:ind w:firstLine="0"/>
        <w:rPr>
          <w:b/>
          <w:bCs/>
        </w:rPr>
      </w:pPr>
    </w:p>
    <w:p w14:paraId="0A3E73C9" w14:textId="35F1DB9F" w:rsidR="00B61765" w:rsidRPr="00727AB8" w:rsidRDefault="00B61765" w:rsidP="00727AB8">
      <w:pPr>
        <w:pStyle w:val="BodyText"/>
        <w:spacing w:line="252" w:lineRule="auto"/>
        <w:ind w:firstLine="0"/>
        <w:rPr>
          <w:b/>
          <w:bCs/>
        </w:rPr>
      </w:pPr>
    </w:p>
    <w:p w14:paraId="30CC4C1C" w14:textId="068AAA82" w:rsidR="00B61765" w:rsidRPr="00727AB8" w:rsidRDefault="00B61765" w:rsidP="00727AB8">
      <w:pPr>
        <w:pStyle w:val="BodyText"/>
        <w:spacing w:line="252" w:lineRule="auto"/>
        <w:ind w:firstLine="0"/>
        <w:rPr>
          <w:b/>
          <w:bCs/>
        </w:rPr>
      </w:pPr>
    </w:p>
    <w:p w14:paraId="6B9C1733" w14:textId="5BEA1D82" w:rsidR="00B61765" w:rsidRPr="00727AB8" w:rsidRDefault="00B61765" w:rsidP="00727AB8">
      <w:pPr>
        <w:pStyle w:val="BodyText"/>
        <w:spacing w:line="252" w:lineRule="auto"/>
        <w:ind w:firstLine="0"/>
        <w:rPr>
          <w:b/>
          <w:bCs/>
        </w:rPr>
        <w:sectPr w:rsidR="00B61765" w:rsidRPr="00727AB8" w:rsidSect="00322A24">
          <w:headerReference w:type="even" r:id="rId9"/>
          <w:headerReference w:type="default" r:id="rId10"/>
          <w:pgSz w:w="11624" w:h="16443" w:code="1"/>
          <w:pgMar w:top="851" w:right="1134" w:bottom="851" w:left="1134" w:header="720" w:footer="720" w:gutter="0"/>
          <w:pgNumType w:start="15"/>
          <w:cols w:space="720"/>
          <w:docGrid w:linePitch="299"/>
        </w:sectPr>
      </w:pPr>
    </w:p>
    <w:p w14:paraId="7B2071F2" w14:textId="7B7FA9A5" w:rsidR="004D4AF5" w:rsidRPr="00727AB8" w:rsidRDefault="00B61765" w:rsidP="00727AB8">
      <w:pPr>
        <w:pStyle w:val="BodyText"/>
        <w:spacing w:line="252" w:lineRule="auto"/>
        <w:ind w:firstLine="0"/>
        <w:rPr>
          <w:b/>
          <w:bCs/>
        </w:rPr>
      </w:pPr>
      <w:r w:rsidRPr="00727AB8">
        <w:rPr>
          <w:b/>
          <w:bCs/>
        </w:rPr>
        <w:lastRenderedPageBreak/>
        <w:t>Table 8</w:t>
      </w:r>
    </w:p>
    <w:p w14:paraId="62545F08" w14:textId="22E00AE1" w:rsidR="004D4AF5" w:rsidRPr="00727AB8" w:rsidRDefault="00B61765" w:rsidP="00727AB8">
      <w:pPr>
        <w:pStyle w:val="BodyText"/>
        <w:spacing w:after="120" w:line="252" w:lineRule="auto"/>
        <w:ind w:firstLine="0"/>
      </w:pPr>
      <w:r w:rsidRPr="00727AB8">
        <w:t>Item wise loadings, composite reliability, and AVE</w:t>
      </w:r>
    </w:p>
    <w:tbl>
      <w:tblPr>
        <w:tblStyle w:val="GridTable1Light"/>
        <w:tblW w:w="14175" w:type="dxa"/>
        <w:jc w:val="center"/>
        <w:tblLayout w:type="fixed"/>
        <w:tblCellMar>
          <w:left w:w="57" w:type="dxa"/>
          <w:right w:w="57" w:type="dxa"/>
        </w:tblCellMar>
        <w:tblLook w:val="04A0" w:firstRow="1" w:lastRow="0" w:firstColumn="1" w:lastColumn="0" w:noHBand="0" w:noVBand="1"/>
      </w:tblPr>
      <w:tblGrid>
        <w:gridCol w:w="2122"/>
        <w:gridCol w:w="1191"/>
        <w:gridCol w:w="7030"/>
        <w:gridCol w:w="1134"/>
        <w:gridCol w:w="1276"/>
        <w:gridCol w:w="709"/>
        <w:gridCol w:w="713"/>
      </w:tblGrid>
      <w:tr w:rsidR="00727AB8" w:rsidRPr="008B3CED" w14:paraId="088E9A5C" w14:textId="77777777" w:rsidTr="008B3CE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noWrap/>
            <w:hideMark/>
          </w:tcPr>
          <w:p w14:paraId="1968A321" w14:textId="77777777" w:rsidR="00B61765" w:rsidRPr="008B3CED" w:rsidRDefault="00B61765" w:rsidP="008B3CED">
            <w:pPr>
              <w:pStyle w:val="NoSpacing"/>
              <w:widowControl w:val="0"/>
              <w:spacing w:before="60" w:after="60"/>
              <w:jc w:val="center"/>
              <w:rPr>
                <w:sz w:val="23"/>
                <w:szCs w:val="23"/>
              </w:rPr>
            </w:pPr>
            <w:r w:rsidRPr="008B3CED">
              <w:rPr>
                <w:sz w:val="23"/>
                <w:szCs w:val="23"/>
              </w:rPr>
              <w:t>Construct</w:t>
            </w:r>
          </w:p>
        </w:tc>
        <w:tc>
          <w:tcPr>
            <w:tcW w:w="1191" w:type="dxa"/>
            <w:noWrap/>
            <w:hideMark/>
          </w:tcPr>
          <w:p w14:paraId="5E46E946" w14:textId="77777777" w:rsidR="00B61765" w:rsidRPr="008B3CED" w:rsidRDefault="00B61765" w:rsidP="008B3CED">
            <w:pPr>
              <w:pStyle w:val="NoSpacing"/>
              <w:widowControl w:val="0"/>
              <w:spacing w:before="60" w:after="6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Item Code</w:t>
            </w:r>
          </w:p>
        </w:tc>
        <w:tc>
          <w:tcPr>
            <w:tcW w:w="7030" w:type="dxa"/>
            <w:hideMark/>
          </w:tcPr>
          <w:p w14:paraId="61701CC9" w14:textId="77777777" w:rsidR="00B61765" w:rsidRPr="008B3CED" w:rsidRDefault="00B61765" w:rsidP="008B3CED">
            <w:pPr>
              <w:pStyle w:val="NoSpacing"/>
              <w:widowControl w:val="0"/>
              <w:spacing w:before="60" w:after="6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Item Description</w:t>
            </w:r>
          </w:p>
        </w:tc>
        <w:tc>
          <w:tcPr>
            <w:tcW w:w="1134" w:type="dxa"/>
            <w:noWrap/>
            <w:hideMark/>
          </w:tcPr>
          <w:p w14:paraId="250D3C9D" w14:textId="77777777" w:rsidR="00B61765" w:rsidRPr="008B3CED" w:rsidRDefault="00B61765" w:rsidP="008B3CED">
            <w:pPr>
              <w:pStyle w:val="NoSpacing"/>
              <w:widowControl w:val="0"/>
              <w:spacing w:before="60" w:after="6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Loadings</w:t>
            </w:r>
          </w:p>
        </w:tc>
        <w:tc>
          <w:tcPr>
            <w:tcW w:w="1276" w:type="dxa"/>
          </w:tcPr>
          <w:p w14:paraId="07DB149A" w14:textId="7A270A7E" w:rsidR="00B61765" w:rsidRPr="008B3CED" w:rsidRDefault="00B61765" w:rsidP="008B3CED">
            <w:pPr>
              <w:pStyle w:val="NoSpacing"/>
              <w:widowControl w:val="0"/>
              <w:spacing w:before="60" w:after="6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Cronbach</w:t>
            </w:r>
            <w:r w:rsidR="00DA78E8" w:rsidRPr="008B3CED">
              <w:rPr>
                <w:sz w:val="23"/>
                <w:szCs w:val="23"/>
              </w:rPr>
              <w:t>’</w:t>
            </w:r>
            <w:r w:rsidRPr="008B3CED">
              <w:rPr>
                <w:sz w:val="23"/>
                <w:szCs w:val="23"/>
              </w:rPr>
              <w:t>s alpha(α)</w:t>
            </w:r>
          </w:p>
        </w:tc>
        <w:tc>
          <w:tcPr>
            <w:tcW w:w="709" w:type="dxa"/>
            <w:noWrap/>
            <w:hideMark/>
          </w:tcPr>
          <w:p w14:paraId="7AB208F2" w14:textId="77777777" w:rsidR="00B61765" w:rsidRPr="008B3CED" w:rsidRDefault="00B61765" w:rsidP="008B3CED">
            <w:pPr>
              <w:pStyle w:val="NoSpacing"/>
              <w:widowControl w:val="0"/>
              <w:spacing w:before="60" w:after="6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CR</w:t>
            </w:r>
          </w:p>
        </w:tc>
        <w:tc>
          <w:tcPr>
            <w:tcW w:w="713" w:type="dxa"/>
            <w:noWrap/>
            <w:hideMark/>
          </w:tcPr>
          <w:p w14:paraId="1B0E242D" w14:textId="77777777" w:rsidR="00B61765" w:rsidRPr="008B3CED" w:rsidRDefault="00B61765" w:rsidP="008B3CED">
            <w:pPr>
              <w:pStyle w:val="NoSpacing"/>
              <w:widowControl w:val="0"/>
              <w:spacing w:before="60" w:after="6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AVE</w:t>
            </w:r>
          </w:p>
        </w:tc>
      </w:tr>
      <w:tr w:rsidR="00727AB8" w:rsidRPr="008B3CED" w14:paraId="3762CA9A"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61C45DE3"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t>Big Data Management</w:t>
            </w:r>
          </w:p>
        </w:tc>
        <w:tc>
          <w:tcPr>
            <w:tcW w:w="1191" w:type="dxa"/>
            <w:noWrap/>
            <w:hideMark/>
          </w:tcPr>
          <w:p w14:paraId="4552BC9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BDM1</w:t>
            </w:r>
          </w:p>
        </w:tc>
        <w:tc>
          <w:tcPr>
            <w:tcW w:w="7030" w:type="dxa"/>
            <w:hideMark/>
          </w:tcPr>
          <w:p w14:paraId="1219884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My company has an Information Technology (IT) team responsible for data management</w:t>
            </w:r>
          </w:p>
        </w:tc>
        <w:tc>
          <w:tcPr>
            <w:tcW w:w="1134" w:type="dxa"/>
            <w:noWrap/>
            <w:vAlign w:val="bottom"/>
            <w:hideMark/>
          </w:tcPr>
          <w:p w14:paraId="788DF81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0.829</w:t>
            </w:r>
          </w:p>
        </w:tc>
        <w:tc>
          <w:tcPr>
            <w:tcW w:w="1276" w:type="dxa"/>
            <w:vMerge w:val="restart"/>
          </w:tcPr>
          <w:p w14:paraId="797269B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0.879</w:t>
            </w:r>
          </w:p>
        </w:tc>
        <w:tc>
          <w:tcPr>
            <w:tcW w:w="709" w:type="dxa"/>
            <w:vMerge w:val="restart"/>
            <w:noWrap/>
            <w:hideMark/>
          </w:tcPr>
          <w:p w14:paraId="354E342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0.884</w:t>
            </w:r>
          </w:p>
        </w:tc>
        <w:tc>
          <w:tcPr>
            <w:tcW w:w="713" w:type="dxa"/>
            <w:vMerge w:val="restart"/>
            <w:noWrap/>
            <w:hideMark/>
          </w:tcPr>
          <w:p w14:paraId="143459B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0.650</w:t>
            </w:r>
          </w:p>
        </w:tc>
      </w:tr>
      <w:tr w:rsidR="00727AB8" w:rsidRPr="008B3CED" w14:paraId="7730ADD4"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640338DB"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6AA90B4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BDM2</w:t>
            </w:r>
          </w:p>
        </w:tc>
        <w:tc>
          <w:tcPr>
            <w:tcW w:w="7030" w:type="dxa"/>
            <w:hideMark/>
          </w:tcPr>
          <w:p w14:paraId="7222042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My company has access to all supply chain transactional data</w:t>
            </w:r>
          </w:p>
        </w:tc>
        <w:tc>
          <w:tcPr>
            <w:tcW w:w="1134" w:type="dxa"/>
            <w:noWrap/>
            <w:vAlign w:val="bottom"/>
            <w:hideMark/>
          </w:tcPr>
          <w:p w14:paraId="1E05F47B"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0.870</w:t>
            </w:r>
          </w:p>
        </w:tc>
        <w:tc>
          <w:tcPr>
            <w:tcW w:w="1276" w:type="dxa"/>
            <w:vMerge/>
          </w:tcPr>
          <w:p w14:paraId="6580E20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1C6C347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7E25476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38F7DC7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21898A70"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3490BE3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BDM3</w:t>
            </w:r>
          </w:p>
        </w:tc>
        <w:tc>
          <w:tcPr>
            <w:tcW w:w="7030" w:type="dxa"/>
            <w:hideMark/>
          </w:tcPr>
          <w:p w14:paraId="2FDECB9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My company stores various types of data including structured and unstructured data, internal and external data related to supply chain</w:t>
            </w:r>
          </w:p>
        </w:tc>
        <w:tc>
          <w:tcPr>
            <w:tcW w:w="1134" w:type="dxa"/>
            <w:noWrap/>
            <w:vAlign w:val="bottom"/>
            <w:hideMark/>
          </w:tcPr>
          <w:p w14:paraId="1134C70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0.742</w:t>
            </w:r>
          </w:p>
        </w:tc>
        <w:tc>
          <w:tcPr>
            <w:tcW w:w="1276" w:type="dxa"/>
            <w:vMerge/>
          </w:tcPr>
          <w:p w14:paraId="30C5393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193066EB"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70E915D7"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4909779D"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tcPr>
          <w:p w14:paraId="17D13804"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tcPr>
          <w:p w14:paraId="505EBE2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BDM4</w:t>
            </w:r>
          </w:p>
        </w:tc>
        <w:tc>
          <w:tcPr>
            <w:tcW w:w="7030" w:type="dxa"/>
          </w:tcPr>
          <w:p w14:paraId="5DB2C48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My company has implemented data management and data quality systems</w:t>
            </w:r>
          </w:p>
        </w:tc>
        <w:tc>
          <w:tcPr>
            <w:tcW w:w="1134" w:type="dxa"/>
            <w:noWrap/>
            <w:vAlign w:val="bottom"/>
          </w:tcPr>
          <w:p w14:paraId="2E2B26E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0.778</w:t>
            </w:r>
          </w:p>
        </w:tc>
        <w:tc>
          <w:tcPr>
            <w:tcW w:w="1276" w:type="dxa"/>
            <w:vMerge/>
          </w:tcPr>
          <w:p w14:paraId="487FF89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tcPr>
          <w:p w14:paraId="70703A5A"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tcPr>
          <w:p w14:paraId="1C7B80D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3CA06767"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0B3EA9E4"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t>Relative Advantage</w:t>
            </w:r>
          </w:p>
        </w:tc>
        <w:tc>
          <w:tcPr>
            <w:tcW w:w="1191" w:type="dxa"/>
            <w:noWrap/>
            <w:hideMark/>
          </w:tcPr>
          <w:p w14:paraId="7E0839D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RAD1</w:t>
            </w:r>
          </w:p>
        </w:tc>
        <w:tc>
          <w:tcPr>
            <w:tcW w:w="7030" w:type="dxa"/>
            <w:hideMark/>
          </w:tcPr>
          <w:p w14:paraId="1CA0A94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can provide better risk insights for my company than existing systems</w:t>
            </w:r>
          </w:p>
        </w:tc>
        <w:tc>
          <w:tcPr>
            <w:tcW w:w="1134" w:type="dxa"/>
            <w:noWrap/>
            <w:vAlign w:val="bottom"/>
            <w:hideMark/>
          </w:tcPr>
          <w:p w14:paraId="5A8BDCE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0.809</w:t>
            </w:r>
          </w:p>
        </w:tc>
        <w:tc>
          <w:tcPr>
            <w:tcW w:w="1276" w:type="dxa"/>
            <w:vMerge w:val="restart"/>
          </w:tcPr>
          <w:p w14:paraId="42A6029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0.872</w:t>
            </w:r>
          </w:p>
        </w:tc>
        <w:tc>
          <w:tcPr>
            <w:tcW w:w="709" w:type="dxa"/>
            <w:vMerge w:val="restart"/>
            <w:noWrap/>
            <w:hideMark/>
          </w:tcPr>
          <w:p w14:paraId="75BDA2E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0.872</w:t>
            </w:r>
          </w:p>
        </w:tc>
        <w:tc>
          <w:tcPr>
            <w:tcW w:w="713" w:type="dxa"/>
            <w:vMerge w:val="restart"/>
            <w:noWrap/>
            <w:hideMark/>
          </w:tcPr>
          <w:p w14:paraId="071E9E0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0.630</w:t>
            </w:r>
          </w:p>
        </w:tc>
      </w:tr>
      <w:tr w:rsidR="00727AB8" w:rsidRPr="008B3CED" w14:paraId="076F8ACE"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70ABA87E"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046BCDF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RAD2</w:t>
            </w:r>
          </w:p>
        </w:tc>
        <w:tc>
          <w:tcPr>
            <w:tcW w:w="7030" w:type="dxa"/>
            <w:hideMark/>
          </w:tcPr>
          <w:p w14:paraId="36C8DDF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can provide faster results to my company</w:t>
            </w:r>
          </w:p>
        </w:tc>
        <w:tc>
          <w:tcPr>
            <w:tcW w:w="1134" w:type="dxa"/>
            <w:noWrap/>
            <w:vAlign w:val="bottom"/>
            <w:hideMark/>
          </w:tcPr>
          <w:p w14:paraId="52F700E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0.773</w:t>
            </w:r>
          </w:p>
        </w:tc>
        <w:tc>
          <w:tcPr>
            <w:tcW w:w="1276" w:type="dxa"/>
            <w:vMerge/>
          </w:tcPr>
          <w:p w14:paraId="68EB5B8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2823960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783E41C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40C70CE3"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5D2CA3D3"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1495CF3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RAD3</w:t>
            </w:r>
          </w:p>
        </w:tc>
        <w:tc>
          <w:tcPr>
            <w:tcW w:w="7030" w:type="dxa"/>
            <w:hideMark/>
          </w:tcPr>
          <w:p w14:paraId="523A2FB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can provide a higher ROI to my company</w:t>
            </w:r>
          </w:p>
        </w:tc>
        <w:tc>
          <w:tcPr>
            <w:tcW w:w="1134" w:type="dxa"/>
            <w:noWrap/>
            <w:vAlign w:val="bottom"/>
            <w:hideMark/>
          </w:tcPr>
          <w:p w14:paraId="1D46548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0.780</w:t>
            </w:r>
          </w:p>
        </w:tc>
        <w:tc>
          <w:tcPr>
            <w:tcW w:w="1276" w:type="dxa"/>
            <w:vMerge/>
          </w:tcPr>
          <w:p w14:paraId="2E269ED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1AA823A7"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3F6C821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14E77914"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tcPr>
          <w:p w14:paraId="2F462F37"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tcPr>
          <w:p w14:paraId="328E272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RAD4</w:t>
            </w:r>
          </w:p>
        </w:tc>
        <w:tc>
          <w:tcPr>
            <w:tcW w:w="7030" w:type="dxa"/>
          </w:tcPr>
          <w:p w14:paraId="1280B24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can provide highly accurate predictive and actionable insights</w:t>
            </w:r>
          </w:p>
        </w:tc>
        <w:tc>
          <w:tcPr>
            <w:tcW w:w="1134" w:type="dxa"/>
            <w:noWrap/>
            <w:vAlign w:val="bottom"/>
          </w:tcPr>
          <w:p w14:paraId="6E44F11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0.812</w:t>
            </w:r>
          </w:p>
        </w:tc>
        <w:tc>
          <w:tcPr>
            <w:tcW w:w="1276" w:type="dxa"/>
            <w:vMerge/>
          </w:tcPr>
          <w:p w14:paraId="65E2C7C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tcPr>
          <w:p w14:paraId="4816892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tcPr>
          <w:p w14:paraId="2397E2E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7A6468B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0F1CB59B"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t>Cost of Ownership</w:t>
            </w:r>
          </w:p>
        </w:tc>
        <w:tc>
          <w:tcPr>
            <w:tcW w:w="1191" w:type="dxa"/>
            <w:noWrap/>
            <w:hideMark/>
          </w:tcPr>
          <w:p w14:paraId="5B6FBDC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COO1</w:t>
            </w:r>
          </w:p>
        </w:tc>
        <w:tc>
          <w:tcPr>
            <w:tcW w:w="7030" w:type="dxa"/>
            <w:hideMark/>
          </w:tcPr>
          <w:p w14:paraId="68D00CD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technology cost is high for my company</w:t>
            </w:r>
          </w:p>
        </w:tc>
        <w:tc>
          <w:tcPr>
            <w:tcW w:w="1134" w:type="dxa"/>
            <w:noWrap/>
            <w:vAlign w:val="bottom"/>
            <w:hideMark/>
          </w:tcPr>
          <w:p w14:paraId="1088E7D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0.867</w:t>
            </w:r>
          </w:p>
        </w:tc>
        <w:tc>
          <w:tcPr>
            <w:tcW w:w="1276" w:type="dxa"/>
            <w:vMerge w:val="restart"/>
          </w:tcPr>
          <w:p w14:paraId="6F32561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0.893</w:t>
            </w:r>
          </w:p>
        </w:tc>
        <w:tc>
          <w:tcPr>
            <w:tcW w:w="709" w:type="dxa"/>
            <w:vMerge w:val="restart"/>
            <w:noWrap/>
            <w:hideMark/>
          </w:tcPr>
          <w:p w14:paraId="791D2197"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0.895</w:t>
            </w:r>
          </w:p>
        </w:tc>
        <w:tc>
          <w:tcPr>
            <w:tcW w:w="713" w:type="dxa"/>
            <w:vMerge w:val="restart"/>
            <w:noWrap/>
            <w:hideMark/>
          </w:tcPr>
          <w:p w14:paraId="6D9EA67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0.738</w:t>
            </w:r>
          </w:p>
        </w:tc>
      </w:tr>
      <w:tr w:rsidR="00727AB8" w:rsidRPr="008B3CED" w14:paraId="6CFED52C"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7911ED59"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3FCB6A7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COO2</w:t>
            </w:r>
          </w:p>
        </w:tc>
        <w:tc>
          <w:tcPr>
            <w:tcW w:w="7030" w:type="dxa"/>
            <w:hideMark/>
          </w:tcPr>
          <w:p w14:paraId="79BF354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integration cost is high for my company</w:t>
            </w:r>
          </w:p>
        </w:tc>
        <w:tc>
          <w:tcPr>
            <w:tcW w:w="1134" w:type="dxa"/>
            <w:noWrap/>
            <w:vAlign w:val="bottom"/>
            <w:hideMark/>
          </w:tcPr>
          <w:p w14:paraId="376D03B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0.891</w:t>
            </w:r>
          </w:p>
        </w:tc>
        <w:tc>
          <w:tcPr>
            <w:tcW w:w="1276" w:type="dxa"/>
            <w:vMerge/>
          </w:tcPr>
          <w:p w14:paraId="6C358D87"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5D83576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12BCB88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5BE1436A"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0744EE8D"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7A804A8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COO3</w:t>
            </w:r>
          </w:p>
        </w:tc>
        <w:tc>
          <w:tcPr>
            <w:tcW w:w="7030" w:type="dxa"/>
            <w:hideMark/>
          </w:tcPr>
          <w:p w14:paraId="26B8C6F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talent cost is high for my company</w:t>
            </w:r>
          </w:p>
        </w:tc>
        <w:tc>
          <w:tcPr>
            <w:tcW w:w="1134" w:type="dxa"/>
            <w:noWrap/>
            <w:vAlign w:val="bottom"/>
            <w:hideMark/>
          </w:tcPr>
          <w:p w14:paraId="19B586A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0.818</w:t>
            </w:r>
          </w:p>
        </w:tc>
        <w:tc>
          <w:tcPr>
            <w:tcW w:w="1276" w:type="dxa"/>
            <w:vMerge/>
          </w:tcPr>
          <w:p w14:paraId="63FAE8B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2BBDA11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24DA0AE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48F301EE"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6BE4313E"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t>Talent</w:t>
            </w:r>
          </w:p>
        </w:tc>
        <w:tc>
          <w:tcPr>
            <w:tcW w:w="1191" w:type="dxa"/>
            <w:noWrap/>
            <w:hideMark/>
          </w:tcPr>
          <w:p w14:paraId="2C41FB6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TAL1</w:t>
            </w:r>
          </w:p>
        </w:tc>
        <w:tc>
          <w:tcPr>
            <w:tcW w:w="7030" w:type="dxa"/>
            <w:hideMark/>
          </w:tcPr>
          <w:p w14:paraId="7A567D3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My company has AI skills</w:t>
            </w:r>
          </w:p>
        </w:tc>
        <w:tc>
          <w:tcPr>
            <w:tcW w:w="1134" w:type="dxa"/>
            <w:noWrap/>
            <w:vAlign w:val="bottom"/>
            <w:hideMark/>
          </w:tcPr>
          <w:p w14:paraId="630E051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0.771</w:t>
            </w:r>
          </w:p>
        </w:tc>
        <w:tc>
          <w:tcPr>
            <w:tcW w:w="1276" w:type="dxa"/>
            <w:vMerge w:val="restart"/>
          </w:tcPr>
          <w:p w14:paraId="2BE6FF7B"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0.780</w:t>
            </w:r>
          </w:p>
        </w:tc>
        <w:tc>
          <w:tcPr>
            <w:tcW w:w="709" w:type="dxa"/>
            <w:vMerge w:val="restart"/>
            <w:noWrap/>
            <w:hideMark/>
          </w:tcPr>
          <w:p w14:paraId="57E3D24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0.786</w:t>
            </w:r>
          </w:p>
        </w:tc>
        <w:tc>
          <w:tcPr>
            <w:tcW w:w="713" w:type="dxa"/>
            <w:vMerge w:val="restart"/>
            <w:noWrap/>
            <w:hideMark/>
          </w:tcPr>
          <w:p w14:paraId="5A0690E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0.547</w:t>
            </w:r>
          </w:p>
        </w:tc>
      </w:tr>
      <w:tr w:rsidR="00727AB8" w:rsidRPr="008B3CED" w14:paraId="48A6EBBA"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2D9DF0E3"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1F2EFDB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TAL2</w:t>
            </w:r>
          </w:p>
        </w:tc>
        <w:tc>
          <w:tcPr>
            <w:tcW w:w="7030" w:type="dxa"/>
            <w:hideMark/>
          </w:tcPr>
          <w:p w14:paraId="68C9549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My company knows whom to partner with to implement AI solutions</w:t>
            </w:r>
          </w:p>
        </w:tc>
        <w:tc>
          <w:tcPr>
            <w:tcW w:w="1134" w:type="dxa"/>
            <w:noWrap/>
            <w:vAlign w:val="bottom"/>
            <w:hideMark/>
          </w:tcPr>
          <w:p w14:paraId="0EBEF44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0.763</w:t>
            </w:r>
          </w:p>
        </w:tc>
        <w:tc>
          <w:tcPr>
            <w:tcW w:w="1276" w:type="dxa"/>
            <w:vMerge/>
          </w:tcPr>
          <w:p w14:paraId="4EAE365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0C6671D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5129B8E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768F4154"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46AE23CC"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21A0322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TAL3</w:t>
            </w:r>
          </w:p>
        </w:tc>
        <w:tc>
          <w:tcPr>
            <w:tcW w:w="7030" w:type="dxa"/>
            <w:hideMark/>
          </w:tcPr>
          <w:p w14:paraId="19B11BB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My company has budgets to hire AI professionals</w:t>
            </w:r>
          </w:p>
        </w:tc>
        <w:tc>
          <w:tcPr>
            <w:tcW w:w="1134" w:type="dxa"/>
            <w:noWrap/>
            <w:vAlign w:val="bottom"/>
            <w:hideMark/>
          </w:tcPr>
          <w:p w14:paraId="3A805C7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0.682</w:t>
            </w:r>
          </w:p>
        </w:tc>
        <w:tc>
          <w:tcPr>
            <w:tcW w:w="1276" w:type="dxa"/>
            <w:vMerge/>
          </w:tcPr>
          <w:p w14:paraId="69685B8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638B63F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7587D1F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34C98316"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70CA27BA"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t>Top Management Support</w:t>
            </w:r>
          </w:p>
        </w:tc>
        <w:tc>
          <w:tcPr>
            <w:tcW w:w="1191" w:type="dxa"/>
            <w:noWrap/>
            <w:hideMark/>
          </w:tcPr>
          <w:p w14:paraId="1663004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TMT1</w:t>
            </w:r>
          </w:p>
        </w:tc>
        <w:tc>
          <w:tcPr>
            <w:tcW w:w="7030" w:type="dxa"/>
            <w:hideMark/>
          </w:tcPr>
          <w:p w14:paraId="6F0EB1C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The top management promotes AI as a strategic priority</w:t>
            </w:r>
          </w:p>
        </w:tc>
        <w:tc>
          <w:tcPr>
            <w:tcW w:w="1134" w:type="dxa"/>
            <w:noWrap/>
            <w:vAlign w:val="bottom"/>
            <w:hideMark/>
          </w:tcPr>
          <w:p w14:paraId="21C7278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0.867</w:t>
            </w:r>
          </w:p>
        </w:tc>
        <w:tc>
          <w:tcPr>
            <w:tcW w:w="1276" w:type="dxa"/>
            <w:vMerge w:val="restart"/>
          </w:tcPr>
          <w:p w14:paraId="7043AF1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0.864</w:t>
            </w:r>
          </w:p>
        </w:tc>
        <w:tc>
          <w:tcPr>
            <w:tcW w:w="709" w:type="dxa"/>
            <w:vMerge w:val="restart"/>
            <w:noWrap/>
            <w:hideMark/>
          </w:tcPr>
          <w:p w14:paraId="6FA20CA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0.867</w:t>
            </w:r>
          </w:p>
        </w:tc>
        <w:tc>
          <w:tcPr>
            <w:tcW w:w="713" w:type="dxa"/>
            <w:vMerge w:val="restart"/>
            <w:noWrap/>
            <w:hideMark/>
          </w:tcPr>
          <w:p w14:paraId="36CB6AB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0.683</w:t>
            </w:r>
          </w:p>
        </w:tc>
      </w:tr>
      <w:tr w:rsidR="00727AB8" w:rsidRPr="008B3CED" w14:paraId="052B82CE"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31B6BAF6"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4A2F2C4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TMT2</w:t>
            </w:r>
          </w:p>
        </w:tc>
        <w:tc>
          <w:tcPr>
            <w:tcW w:w="7030" w:type="dxa"/>
            <w:hideMark/>
          </w:tcPr>
          <w:p w14:paraId="0EC2B9D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The top management invests in AI solutions</w:t>
            </w:r>
          </w:p>
        </w:tc>
        <w:tc>
          <w:tcPr>
            <w:tcW w:w="1134" w:type="dxa"/>
            <w:noWrap/>
            <w:vAlign w:val="bottom"/>
            <w:hideMark/>
          </w:tcPr>
          <w:p w14:paraId="5F607EB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0.795</w:t>
            </w:r>
          </w:p>
        </w:tc>
        <w:tc>
          <w:tcPr>
            <w:tcW w:w="1276" w:type="dxa"/>
            <w:vMerge/>
          </w:tcPr>
          <w:p w14:paraId="13E9235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71FEA98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51BAC52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434E6EC3"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7145CD6F"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1DE708C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TNT3</w:t>
            </w:r>
          </w:p>
        </w:tc>
        <w:tc>
          <w:tcPr>
            <w:tcW w:w="7030" w:type="dxa"/>
            <w:hideMark/>
          </w:tcPr>
          <w:p w14:paraId="43493C1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The top management is keen to experiment with new AI techniques</w:t>
            </w:r>
          </w:p>
        </w:tc>
        <w:tc>
          <w:tcPr>
            <w:tcW w:w="1134" w:type="dxa"/>
            <w:noWrap/>
            <w:vAlign w:val="bottom"/>
            <w:hideMark/>
          </w:tcPr>
          <w:p w14:paraId="6B944C1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0.815</w:t>
            </w:r>
          </w:p>
        </w:tc>
        <w:tc>
          <w:tcPr>
            <w:tcW w:w="1276" w:type="dxa"/>
            <w:vMerge/>
          </w:tcPr>
          <w:p w14:paraId="3337547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6CAF16F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140FF59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6A35B786"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32FC09CE"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lastRenderedPageBreak/>
              <w:t>ERM Alignment</w:t>
            </w:r>
          </w:p>
        </w:tc>
        <w:tc>
          <w:tcPr>
            <w:tcW w:w="1191" w:type="dxa"/>
            <w:noWrap/>
            <w:hideMark/>
          </w:tcPr>
          <w:p w14:paraId="0A10EAF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ERM1</w:t>
            </w:r>
          </w:p>
        </w:tc>
        <w:tc>
          <w:tcPr>
            <w:tcW w:w="7030" w:type="dxa"/>
            <w:hideMark/>
          </w:tcPr>
          <w:p w14:paraId="461207DA" w14:textId="69A4503C"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The use of AI in SCRM complies with my company</w:t>
            </w:r>
            <w:r w:rsidR="00DA78E8" w:rsidRPr="008B3CED">
              <w:rPr>
                <w:sz w:val="23"/>
                <w:szCs w:val="23"/>
              </w:rPr>
              <w:t>’</w:t>
            </w:r>
            <w:r w:rsidRPr="008B3CED">
              <w:rPr>
                <w:sz w:val="23"/>
                <w:szCs w:val="23"/>
              </w:rPr>
              <w:t>s enterprise risk management policies and procedures</w:t>
            </w:r>
          </w:p>
        </w:tc>
        <w:tc>
          <w:tcPr>
            <w:tcW w:w="1134" w:type="dxa"/>
            <w:noWrap/>
            <w:vAlign w:val="bottom"/>
            <w:hideMark/>
          </w:tcPr>
          <w:p w14:paraId="3CC40A0A"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0.810</w:t>
            </w:r>
          </w:p>
        </w:tc>
        <w:tc>
          <w:tcPr>
            <w:tcW w:w="1276" w:type="dxa"/>
            <w:vMerge w:val="restart"/>
          </w:tcPr>
          <w:p w14:paraId="47C2054A"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0.906</w:t>
            </w:r>
          </w:p>
        </w:tc>
        <w:tc>
          <w:tcPr>
            <w:tcW w:w="709" w:type="dxa"/>
            <w:vMerge w:val="restart"/>
            <w:noWrap/>
            <w:hideMark/>
          </w:tcPr>
          <w:p w14:paraId="7951B1A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0.908</w:t>
            </w:r>
          </w:p>
        </w:tc>
        <w:tc>
          <w:tcPr>
            <w:tcW w:w="713" w:type="dxa"/>
            <w:vMerge w:val="restart"/>
            <w:noWrap/>
            <w:hideMark/>
          </w:tcPr>
          <w:p w14:paraId="4E1A838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0.709</w:t>
            </w:r>
          </w:p>
        </w:tc>
      </w:tr>
      <w:tr w:rsidR="00727AB8" w:rsidRPr="008B3CED" w14:paraId="39F9F367"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29CE80D3"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7230DCC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ERM2</w:t>
            </w:r>
          </w:p>
        </w:tc>
        <w:tc>
          <w:tcPr>
            <w:tcW w:w="7030" w:type="dxa"/>
            <w:hideMark/>
          </w:tcPr>
          <w:p w14:paraId="57923B4B"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systems in SCRM are integrated with enterprise risk management systems in my company</w:t>
            </w:r>
          </w:p>
        </w:tc>
        <w:tc>
          <w:tcPr>
            <w:tcW w:w="1134" w:type="dxa"/>
            <w:noWrap/>
            <w:vAlign w:val="bottom"/>
            <w:hideMark/>
          </w:tcPr>
          <w:p w14:paraId="1FF9A24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0.861</w:t>
            </w:r>
          </w:p>
        </w:tc>
        <w:tc>
          <w:tcPr>
            <w:tcW w:w="1276" w:type="dxa"/>
            <w:vMerge/>
          </w:tcPr>
          <w:p w14:paraId="46D29B0A"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1892990A"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4B05D64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7A7CA51A"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44FB8432"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000B3A7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ERM3</w:t>
            </w:r>
          </w:p>
        </w:tc>
        <w:tc>
          <w:tcPr>
            <w:tcW w:w="7030" w:type="dxa"/>
            <w:hideMark/>
          </w:tcPr>
          <w:p w14:paraId="49CEF24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AI-based decisions are reviewed by enterprise risk professionals in my company</w:t>
            </w:r>
          </w:p>
        </w:tc>
        <w:tc>
          <w:tcPr>
            <w:tcW w:w="1134" w:type="dxa"/>
            <w:noWrap/>
            <w:vAlign w:val="bottom"/>
            <w:hideMark/>
          </w:tcPr>
          <w:p w14:paraId="23322C3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0.877</w:t>
            </w:r>
          </w:p>
        </w:tc>
        <w:tc>
          <w:tcPr>
            <w:tcW w:w="1276" w:type="dxa"/>
            <w:vMerge/>
          </w:tcPr>
          <w:p w14:paraId="56D83DC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40C80EA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55E62DE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33E6AD7B"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tcPr>
          <w:p w14:paraId="1AD6C5A4"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tcPr>
          <w:p w14:paraId="3C68ED5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ERM4</w:t>
            </w:r>
          </w:p>
        </w:tc>
        <w:tc>
          <w:tcPr>
            <w:tcW w:w="7030" w:type="dxa"/>
          </w:tcPr>
          <w:p w14:paraId="2065BE0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Risk management professionals use the insights from AI systems for decision making in my company</w:t>
            </w:r>
          </w:p>
        </w:tc>
        <w:tc>
          <w:tcPr>
            <w:tcW w:w="1134" w:type="dxa"/>
            <w:noWrap/>
            <w:vAlign w:val="bottom"/>
          </w:tcPr>
          <w:p w14:paraId="7A37FED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0.817</w:t>
            </w:r>
          </w:p>
        </w:tc>
        <w:tc>
          <w:tcPr>
            <w:tcW w:w="1276" w:type="dxa"/>
            <w:vMerge/>
          </w:tcPr>
          <w:p w14:paraId="51375D7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tcPr>
          <w:p w14:paraId="540940E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tcPr>
          <w:p w14:paraId="020C7B6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60712B1E"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339A0EB8"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t>External Pressure</w:t>
            </w:r>
          </w:p>
        </w:tc>
        <w:tc>
          <w:tcPr>
            <w:tcW w:w="1191" w:type="dxa"/>
            <w:noWrap/>
            <w:hideMark/>
          </w:tcPr>
          <w:p w14:paraId="38337AD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EXP1</w:t>
            </w:r>
          </w:p>
        </w:tc>
        <w:tc>
          <w:tcPr>
            <w:tcW w:w="7030" w:type="dxa"/>
            <w:hideMark/>
          </w:tcPr>
          <w:p w14:paraId="29FB72D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Our competitors have already adopted AI</w:t>
            </w:r>
          </w:p>
        </w:tc>
        <w:tc>
          <w:tcPr>
            <w:tcW w:w="1134" w:type="dxa"/>
            <w:noWrap/>
            <w:vAlign w:val="bottom"/>
            <w:hideMark/>
          </w:tcPr>
          <w:p w14:paraId="2E70ECC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0.809</w:t>
            </w:r>
          </w:p>
        </w:tc>
        <w:tc>
          <w:tcPr>
            <w:tcW w:w="1276" w:type="dxa"/>
            <w:vMerge w:val="restart"/>
          </w:tcPr>
          <w:p w14:paraId="3D379BBA"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0.829</w:t>
            </w:r>
          </w:p>
        </w:tc>
        <w:tc>
          <w:tcPr>
            <w:tcW w:w="709" w:type="dxa"/>
            <w:vMerge w:val="restart"/>
            <w:noWrap/>
            <w:hideMark/>
          </w:tcPr>
          <w:p w14:paraId="195E12D4"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0.830</w:t>
            </w:r>
          </w:p>
        </w:tc>
        <w:tc>
          <w:tcPr>
            <w:tcW w:w="713" w:type="dxa"/>
            <w:vMerge w:val="restart"/>
            <w:noWrap/>
            <w:hideMark/>
          </w:tcPr>
          <w:p w14:paraId="490503D7"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0.619</w:t>
            </w:r>
          </w:p>
        </w:tc>
      </w:tr>
      <w:tr w:rsidR="00727AB8" w:rsidRPr="008B3CED" w14:paraId="5B7CAC7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708FF9D5"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5E705BB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EXP2</w:t>
            </w:r>
          </w:p>
        </w:tc>
        <w:tc>
          <w:tcPr>
            <w:tcW w:w="7030" w:type="dxa"/>
            <w:hideMark/>
          </w:tcPr>
          <w:p w14:paraId="177B2E5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Our partners have already adopted AI</w:t>
            </w:r>
          </w:p>
        </w:tc>
        <w:tc>
          <w:tcPr>
            <w:tcW w:w="1134" w:type="dxa"/>
            <w:noWrap/>
            <w:vAlign w:val="bottom"/>
            <w:hideMark/>
          </w:tcPr>
          <w:p w14:paraId="6BAE3FB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0.766</w:t>
            </w:r>
          </w:p>
        </w:tc>
        <w:tc>
          <w:tcPr>
            <w:tcW w:w="1276" w:type="dxa"/>
            <w:vMerge/>
          </w:tcPr>
          <w:p w14:paraId="16CEFD1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1DD10CD7"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77E65CA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79D048D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58F0FD36" w14:textId="77777777" w:rsidR="00B61765" w:rsidRPr="008B3CED" w:rsidRDefault="00B61765" w:rsidP="008B3CED">
            <w:pPr>
              <w:pStyle w:val="NoSpacing"/>
              <w:widowControl w:val="0"/>
              <w:spacing w:before="60" w:after="60"/>
              <w:jc w:val="center"/>
              <w:rPr>
                <w:b w:val="0"/>
                <w:bCs w:val="0"/>
                <w:sz w:val="23"/>
                <w:szCs w:val="23"/>
              </w:rPr>
            </w:pPr>
          </w:p>
        </w:tc>
        <w:tc>
          <w:tcPr>
            <w:tcW w:w="1191" w:type="dxa"/>
            <w:noWrap/>
            <w:hideMark/>
          </w:tcPr>
          <w:p w14:paraId="302EF25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EXP3</w:t>
            </w:r>
          </w:p>
        </w:tc>
        <w:tc>
          <w:tcPr>
            <w:tcW w:w="7030" w:type="dxa"/>
            <w:hideMark/>
          </w:tcPr>
          <w:p w14:paraId="141482E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Market trends point to higher use of AI</w:t>
            </w:r>
          </w:p>
        </w:tc>
        <w:tc>
          <w:tcPr>
            <w:tcW w:w="1134" w:type="dxa"/>
            <w:noWrap/>
            <w:vAlign w:val="bottom"/>
            <w:hideMark/>
          </w:tcPr>
          <w:p w14:paraId="71EF66DB"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0.785</w:t>
            </w:r>
          </w:p>
        </w:tc>
        <w:tc>
          <w:tcPr>
            <w:tcW w:w="1276" w:type="dxa"/>
            <w:vMerge/>
          </w:tcPr>
          <w:p w14:paraId="0849D89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14061A0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49205E59"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2B7A4E16"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4686FEAD" w14:textId="77777777" w:rsidR="00B61765" w:rsidRPr="008B3CED" w:rsidRDefault="00B61765" w:rsidP="008B3CED">
            <w:pPr>
              <w:pStyle w:val="NoSpacing"/>
              <w:widowControl w:val="0"/>
              <w:spacing w:before="60" w:after="60"/>
              <w:jc w:val="center"/>
              <w:rPr>
                <w:b w:val="0"/>
                <w:bCs w:val="0"/>
                <w:sz w:val="23"/>
                <w:szCs w:val="23"/>
              </w:rPr>
            </w:pPr>
            <w:r w:rsidRPr="008B3CED">
              <w:rPr>
                <w:b w:val="0"/>
                <w:bCs w:val="0"/>
                <w:sz w:val="23"/>
                <w:szCs w:val="23"/>
              </w:rPr>
              <w:t>Disruption Response</w:t>
            </w:r>
          </w:p>
        </w:tc>
        <w:tc>
          <w:tcPr>
            <w:tcW w:w="1191" w:type="dxa"/>
            <w:noWrap/>
            <w:hideMark/>
          </w:tcPr>
          <w:p w14:paraId="43E510E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DIS1</w:t>
            </w:r>
          </w:p>
        </w:tc>
        <w:tc>
          <w:tcPr>
            <w:tcW w:w="7030" w:type="dxa"/>
            <w:hideMark/>
          </w:tcPr>
          <w:p w14:paraId="45C5865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 xml:space="preserve">My company has experienced negative effects from past events like natural disasters, geopolitical events, etc. </w:t>
            </w:r>
          </w:p>
        </w:tc>
        <w:tc>
          <w:tcPr>
            <w:tcW w:w="1134" w:type="dxa"/>
            <w:noWrap/>
            <w:vAlign w:val="bottom"/>
            <w:hideMark/>
          </w:tcPr>
          <w:p w14:paraId="45C09CF0"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0.686</w:t>
            </w:r>
          </w:p>
        </w:tc>
        <w:tc>
          <w:tcPr>
            <w:tcW w:w="1276" w:type="dxa"/>
            <w:vMerge w:val="restart"/>
          </w:tcPr>
          <w:p w14:paraId="0951866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0.855</w:t>
            </w:r>
          </w:p>
        </w:tc>
        <w:tc>
          <w:tcPr>
            <w:tcW w:w="709" w:type="dxa"/>
            <w:vMerge w:val="restart"/>
            <w:noWrap/>
            <w:hideMark/>
          </w:tcPr>
          <w:p w14:paraId="179D970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0.864</w:t>
            </w:r>
          </w:p>
        </w:tc>
        <w:tc>
          <w:tcPr>
            <w:tcW w:w="713" w:type="dxa"/>
            <w:vMerge w:val="restart"/>
            <w:noWrap/>
            <w:hideMark/>
          </w:tcPr>
          <w:p w14:paraId="13B896B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0.605</w:t>
            </w:r>
          </w:p>
        </w:tc>
      </w:tr>
      <w:tr w:rsidR="00727AB8" w:rsidRPr="008B3CED" w14:paraId="6E54EDF6"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0E125B8A" w14:textId="77777777" w:rsidR="00B61765" w:rsidRPr="008B3CED" w:rsidRDefault="00B61765" w:rsidP="008B3CED">
            <w:pPr>
              <w:pStyle w:val="NoSpacing"/>
              <w:widowControl w:val="0"/>
              <w:spacing w:before="60" w:after="60"/>
              <w:jc w:val="center"/>
              <w:rPr>
                <w:sz w:val="23"/>
                <w:szCs w:val="23"/>
              </w:rPr>
            </w:pPr>
          </w:p>
        </w:tc>
        <w:tc>
          <w:tcPr>
            <w:tcW w:w="1191" w:type="dxa"/>
            <w:noWrap/>
            <w:hideMark/>
          </w:tcPr>
          <w:p w14:paraId="714E83CA"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DIS2</w:t>
            </w:r>
          </w:p>
        </w:tc>
        <w:tc>
          <w:tcPr>
            <w:tcW w:w="7030" w:type="dxa"/>
            <w:hideMark/>
          </w:tcPr>
          <w:p w14:paraId="6C22C13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Early warning signals can enable my company to respond proactively to supply chain disruptions</w:t>
            </w:r>
          </w:p>
        </w:tc>
        <w:tc>
          <w:tcPr>
            <w:tcW w:w="1134" w:type="dxa"/>
            <w:noWrap/>
            <w:vAlign w:val="bottom"/>
            <w:hideMark/>
          </w:tcPr>
          <w:p w14:paraId="0C5C078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0.858</w:t>
            </w:r>
          </w:p>
        </w:tc>
        <w:tc>
          <w:tcPr>
            <w:tcW w:w="1276" w:type="dxa"/>
            <w:vMerge/>
          </w:tcPr>
          <w:p w14:paraId="4199425F"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2F94142C"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5ED6B7C5"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41A2F4AF"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hideMark/>
          </w:tcPr>
          <w:p w14:paraId="4B39D7B3" w14:textId="77777777" w:rsidR="00B61765" w:rsidRPr="008B3CED" w:rsidRDefault="00B61765" w:rsidP="008B3CED">
            <w:pPr>
              <w:pStyle w:val="NoSpacing"/>
              <w:widowControl w:val="0"/>
              <w:spacing w:before="60" w:after="60"/>
              <w:jc w:val="center"/>
              <w:rPr>
                <w:sz w:val="23"/>
                <w:szCs w:val="23"/>
              </w:rPr>
            </w:pPr>
          </w:p>
        </w:tc>
        <w:tc>
          <w:tcPr>
            <w:tcW w:w="1191" w:type="dxa"/>
            <w:noWrap/>
            <w:hideMark/>
          </w:tcPr>
          <w:p w14:paraId="0514C612"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DIS3</w:t>
            </w:r>
          </w:p>
        </w:tc>
        <w:tc>
          <w:tcPr>
            <w:tcW w:w="7030" w:type="dxa"/>
            <w:hideMark/>
          </w:tcPr>
          <w:p w14:paraId="08FF646E"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can provide insights to respond effectively to supply chain disruptions in my company</w:t>
            </w:r>
          </w:p>
        </w:tc>
        <w:tc>
          <w:tcPr>
            <w:tcW w:w="1134" w:type="dxa"/>
            <w:noWrap/>
            <w:vAlign w:val="bottom"/>
            <w:hideMark/>
          </w:tcPr>
          <w:p w14:paraId="48BC72CD"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0.780</w:t>
            </w:r>
          </w:p>
        </w:tc>
        <w:tc>
          <w:tcPr>
            <w:tcW w:w="1276" w:type="dxa"/>
            <w:vMerge/>
          </w:tcPr>
          <w:p w14:paraId="008D0E1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hideMark/>
          </w:tcPr>
          <w:p w14:paraId="3E619C1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hideMark/>
          </w:tcPr>
          <w:p w14:paraId="41ADBFC6"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r w:rsidR="00727AB8" w:rsidRPr="008B3CED" w14:paraId="13151A2D"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122" w:type="dxa"/>
            <w:vMerge/>
          </w:tcPr>
          <w:p w14:paraId="2391AAAD" w14:textId="77777777" w:rsidR="00B61765" w:rsidRPr="008B3CED" w:rsidRDefault="00B61765" w:rsidP="008B3CED">
            <w:pPr>
              <w:pStyle w:val="NoSpacing"/>
              <w:widowControl w:val="0"/>
              <w:spacing w:before="60" w:after="60"/>
              <w:jc w:val="center"/>
              <w:rPr>
                <w:sz w:val="23"/>
                <w:szCs w:val="23"/>
              </w:rPr>
            </w:pPr>
          </w:p>
        </w:tc>
        <w:tc>
          <w:tcPr>
            <w:tcW w:w="1191" w:type="dxa"/>
            <w:noWrap/>
          </w:tcPr>
          <w:p w14:paraId="264D852B"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DIS4</w:t>
            </w:r>
          </w:p>
        </w:tc>
        <w:tc>
          <w:tcPr>
            <w:tcW w:w="7030" w:type="dxa"/>
          </w:tcPr>
          <w:p w14:paraId="06FA7FB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AI can help mitigate the impact of disruption to the supply chain in my company</w:t>
            </w:r>
          </w:p>
        </w:tc>
        <w:tc>
          <w:tcPr>
            <w:tcW w:w="1134" w:type="dxa"/>
            <w:noWrap/>
            <w:vAlign w:val="bottom"/>
          </w:tcPr>
          <w:p w14:paraId="53015E33"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0.776</w:t>
            </w:r>
          </w:p>
        </w:tc>
        <w:tc>
          <w:tcPr>
            <w:tcW w:w="1276" w:type="dxa"/>
            <w:vMerge/>
          </w:tcPr>
          <w:p w14:paraId="7687AD81"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09" w:type="dxa"/>
            <w:vMerge/>
          </w:tcPr>
          <w:p w14:paraId="4E182C0B"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c>
          <w:tcPr>
            <w:tcW w:w="713" w:type="dxa"/>
            <w:vMerge/>
          </w:tcPr>
          <w:p w14:paraId="105E7758" w14:textId="77777777" w:rsidR="00B61765" w:rsidRPr="008B3CED" w:rsidRDefault="00B61765" w:rsidP="008B3CED">
            <w:pPr>
              <w:pStyle w:val="NoSpacing"/>
              <w:widowControl w:val="0"/>
              <w:spacing w:before="60" w:after="60"/>
              <w:jc w:val="center"/>
              <w:cnfStyle w:val="000000000000" w:firstRow="0" w:lastRow="0" w:firstColumn="0" w:lastColumn="0" w:oddVBand="0" w:evenVBand="0" w:oddHBand="0" w:evenHBand="0" w:firstRowFirstColumn="0" w:firstRowLastColumn="0" w:lastRowFirstColumn="0" w:lastRowLastColumn="0"/>
              <w:rPr>
                <w:sz w:val="23"/>
                <w:szCs w:val="23"/>
              </w:rPr>
            </w:pPr>
          </w:p>
        </w:tc>
      </w:tr>
    </w:tbl>
    <w:p w14:paraId="3A65B642" w14:textId="5E455FC2" w:rsidR="004D4AF5" w:rsidRPr="00727AB8" w:rsidRDefault="00B61765" w:rsidP="00727AB8">
      <w:pPr>
        <w:pStyle w:val="BodyText"/>
        <w:spacing w:line="252" w:lineRule="auto"/>
        <w:ind w:firstLine="0"/>
        <w:rPr>
          <w:sz w:val="20"/>
          <w:szCs w:val="20"/>
        </w:rPr>
      </w:pPr>
      <w:r w:rsidRPr="00727AB8">
        <w:rPr>
          <w:sz w:val="20"/>
          <w:szCs w:val="20"/>
        </w:rPr>
        <w:t xml:space="preserve"> </w:t>
      </w:r>
      <w:r w:rsidR="00483075" w:rsidRPr="00727AB8">
        <w:rPr>
          <w:sz w:val="20"/>
          <w:szCs w:val="20"/>
        </w:rPr>
        <w:t xml:space="preserve">Source: </w:t>
      </w:r>
      <w:r w:rsidR="007D261C" w:rsidRPr="00727AB8">
        <w:rPr>
          <w:sz w:val="20"/>
          <w:szCs w:val="20"/>
        </w:rPr>
        <w:t xml:space="preserve"> </w:t>
      </w:r>
      <w:r w:rsidR="005127F1" w:rsidRPr="00727AB8">
        <w:rPr>
          <w:sz w:val="20"/>
          <w:szCs w:val="20"/>
        </w:rPr>
        <w:t>Author</w:t>
      </w:r>
      <w:r w:rsidR="00DA78E8" w:rsidRPr="00727AB8">
        <w:rPr>
          <w:sz w:val="20"/>
          <w:szCs w:val="20"/>
        </w:rPr>
        <w:t>’</w:t>
      </w:r>
      <w:r w:rsidR="005127F1" w:rsidRPr="00727AB8">
        <w:rPr>
          <w:sz w:val="20"/>
          <w:szCs w:val="20"/>
        </w:rPr>
        <w:t>s ADANCO output</w:t>
      </w:r>
    </w:p>
    <w:p w14:paraId="6247B8F7" w14:textId="77777777" w:rsidR="008B3CED" w:rsidRDefault="008B3CED">
      <w:pPr>
        <w:rPr>
          <w:b/>
          <w:bCs/>
          <w:sz w:val="24"/>
          <w:szCs w:val="24"/>
        </w:rPr>
      </w:pPr>
      <w:r>
        <w:rPr>
          <w:b/>
          <w:bCs/>
        </w:rPr>
        <w:br w:type="page"/>
      </w:r>
    </w:p>
    <w:p w14:paraId="4CEAA94A" w14:textId="733563EF" w:rsidR="00B61765" w:rsidRPr="00727AB8" w:rsidRDefault="00B61765" w:rsidP="00727AB8">
      <w:pPr>
        <w:pStyle w:val="BodyText"/>
        <w:spacing w:line="252" w:lineRule="auto"/>
        <w:ind w:firstLine="0"/>
        <w:rPr>
          <w:b/>
          <w:bCs/>
        </w:rPr>
      </w:pPr>
      <w:r w:rsidRPr="00727AB8">
        <w:rPr>
          <w:b/>
          <w:bCs/>
        </w:rPr>
        <w:lastRenderedPageBreak/>
        <w:t>Table 9</w:t>
      </w:r>
    </w:p>
    <w:p w14:paraId="616D598B" w14:textId="7CE6D168" w:rsidR="00B61765" w:rsidRPr="00727AB8" w:rsidRDefault="00B61765" w:rsidP="00727AB8">
      <w:pPr>
        <w:pStyle w:val="BodyText"/>
        <w:spacing w:after="120" w:line="252" w:lineRule="auto"/>
        <w:ind w:firstLine="0"/>
      </w:pPr>
      <w:r w:rsidRPr="00727AB8">
        <w:t>Correlation of latent variables and the square root of AVE</w:t>
      </w:r>
    </w:p>
    <w:tbl>
      <w:tblPr>
        <w:tblStyle w:val="GridTable1Light"/>
        <w:tblW w:w="14175" w:type="dxa"/>
        <w:jc w:val="center"/>
        <w:tblLayout w:type="fixed"/>
        <w:tblCellMar>
          <w:left w:w="57" w:type="dxa"/>
          <w:right w:w="57" w:type="dxa"/>
        </w:tblCellMar>
        <w:tblLook w:val="04A0" w:firstRow="1" w:lastRow="0" w:firstColumn="1" w:lastColumn="0" w:noHBand="0" w:noVBand="1"/>
      </w:tblPr>
      <w:tblGrid>
        <w:gridCol w:w="2830"/>
        <w:gridCol w:w="1418"/>
        <w:gridCol w:w="1417"/>
        <w:gridCol w:w="1418"/>
        <w:gridCol w:w="1134"/>
        <w:gridCol w:w="1979"/>
        <w:gridCol w:w="1409"/>
        <w:gridCol w:w="1238"/>
        <w:gridCol w:w="1332"/>
      </w:tblGrid>
      <w:tr w:rsidR="00727AB8" w:rsidRPr="008B3CED" w14:paraId="10BDACDE" w14:textId="77777777" w:rsidTr="008B3C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2E23FD6D" w14:textId="77777777" w:rsidR="00B61765" w:rsidRPr="008B3CED" w:rsidRDefault="00B61765" w:rsidP="008B3CED">
            <w:pPr>
              <w:pStyle w:val="tablecaption"/>
              <w:keepNext w:val="0"/>
              <w:keepLines w:val="0"/>
              <w:widowControl w:val="0"/>
              <w:spacing w:before="40" w:after="60" w:line="240" w:lineRule="auto"/>
              <w:contextualSpacing w:val="0"/>
              <w:rPr>
                <w:bCs w:val="0"/>
                <w:sz w:val="23"/>
                <w:szCs w:val="23"/>
                <w:lang w:val="en-IN"/>
              </w:rPr>
            </w:pPr>
            <w:r w:rsidRPr="008B3CED">
              <w:rPr>
                <w:bCs w:val="0"/>
                <w:sz w:val="23"/>
                <w:szCs w:val="23"/>
              </w:rPr>
              <w:t>Construct</w:t>
            </w:r>
          </w:p>
        </w:tc>
        <w:tc>
          <w:tcPr>
            <w:tcW w:w="1418" w:type="dxa"/>
            <w:noWrap/>
            <w:hideMark/>
          </w:tcPr>
          <w:p w14:paraId="35BE1404"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bCs w:val="0"/>
                <w:sz w:val="23"/>
                <w:szCs w:val="23"/>
              </w:rPr>
              <w:t>Big Data Management</w:t>
            </w:r>
          </w:p>
        </w:tc>
        <w:tc>
          <w:tcPr>
            <w:tcW w:w="1417" w:type="dxa"/>
            <w:noWrap/>
            <w:hideMark/>
          </w:tcPr>
          <w:p w14:paraId="5812B9FD"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bCs w:val="0"/>
                <w:sz w:val="23"/>
                <w:szCs w:val="23"/>
              </w:rPr>
              <w:t>Relative Advantage</w:t>
            </w:r>
          </w:p>
        </w:tc>
        <w:tc>
          <w:tcPr>
            <w:tcW w:w="1418" w:type="dxa"/>
            <w:noWrap/>
            <w:hideMark/>
          </w:tcPr>
          <w:p w14:paraId="61760543"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bCs w:val="0"/>
                <w:sz w:val="23"/>
                <w:szCs w:val="23"/>
              </w:rPr>
              <w:t>Cost of Ownership</w:t>
            </w:r>
          </w:p>
        </w:tc>
        <w:tc>
          <w:tcPr>
            <w:tcW w:w="1134" w:type="dxa"/>
            <w:noWrap/>
            <w:hideMark/>
          </w:tcPr>
          <w:p w14:paraId="07B4B9D4"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bCs w:val="0"/>
                <w:sz w:val="23"/>
                <w:szCs w:val="23"/>
              </w:rPr>
              <w:t>Talent</w:t>
            </w:r>
          </w:p>
        </w:tc>
        <w:tc>
          <w:tcPr>
            <w:tcW w:w="1979" w:type="dxa"/>
            <w:noWrap/>
            <w:hideMark/>
          </w:tcPr>
          <w:p w14:paraId="3B49AF5D"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bCs w:val="0"/>
                <w:sz w:val="23"/>
                <w:szCs w:val="23"/>
              </w:rPr>
              <w:t>Top Management Support</w:t>
            </w:r>
          </w:p>
        </w:tc>
        <w:tc>
          <w:tcPr>
            <w:tcW w:w="1409" w:type="dxa"/>
            <w:noWrap/>
            <w:hideMark/>
          </w:tcPr>
          <w:p w14:paraId="14D96937"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bCs w:val="0"/>
                <w:sz w:val="23"/>
                <w:szCs w:val="23"/>
              </w:rPr>
              <w:t>ERM Alignment</w:t>
            </w:r>
          </w:p>
        </w:tc>
        <w:tc>
          <w:tcPr>
            <w:tcW w:w="1238" w:type="dxa"/>
            <w:noWrap/>
            <w:hideMark/>
          </w:tcPr>
          <w:p w14:paraId="73A62211"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bCs w:val="0"/>
                <w:sz w:val="23"/>
                <w:szCs w:val="23"/>
              </w:rPr>
              <w:t>External Pressure</w:t>
            </w:r>
          </w:p>
        </w:tc>
        <w:tc>
          <w:tcPr>
            <w:tcW w:w="1332" w:type="dxa"/>
            <w:noWrap/>
            <w:hideMark/>
          </w:tcPr>
          <w:p w14:paraId="4775E421" w14:textId="77777777" w:rsidR="00B61765" w:rsidRPr="008B3CED" w:rsidRDefault="00B61765" w:rsidP="008B3CED">
            <w:pPr>
              <w:pStyle w:val="tablecaption"/>
              <w:keepNext w:val="0"/>
              <w:keepLines w:val="0"/>
              <w:widowControl w:val="0"/>
              <w:spacing w:before="40" w:after="60" w:line="240" w:lineRule="auto"/>
              <w:contextualSpacing w:val="0"/>
              <w:cnfStyle w:val="100000000000" w:firstRow="1" w:lastRow="0" w:firstColumn="0" w:lastColumn="0" w:oddVBand="0" w:evenVBand="0" w:oddHBand="0" w:evenHBand="0" w:firstRowFirstColumn="0" w:firstRowLastColumn="0" w:lastRowFirstColumn="0" w:lastRowLastColumn="0"/>
              <w:rPr>
                <w:bCs w:val="0"/>
                <w:sz w:val="23"/>
                <w:szCs w:val="23"/>
              </w:rPr>
            </w:pPr>
            <w:r w:rsidRPr="008B3CED">
              <w:rPr>
                <w:sz w:val="23"/>
                <w:szCs w:val="23"/>
              </w:rPr>
              <w:t>Disruption Response</w:t>
            </w:r>
          </w:p>
        </w:tc>
      </w:tr>
      <w:tr w:rsidR="00727AB8" w:rsidRPr="008B3CED" w14:paraId="519FCFF8"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79D832F"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Big Data Management</w:t>
            </w:r>
          </w:p>
        </w:tc>
        <w:tc>
          <w:tcPr>
            <w:tcW w:w="1418" w:type="dxa"/>
            <w:noWrap/>
            <w:vAlign w:val="bottom"/>
            <w:hideMark/>
          </w:tcPr>
          <w:p w14:paraId="50BE874D"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0.650</w:t>
            </w:r>
          </w:p>
        </w:tc>
        <w:tc>
          <w:tcPr>
            <w:tcW w:w="1417" w:type="dxa"/>
            <w:noWrap/>
            <w:vAlign w:val="bottom"/>
            <w:hideMark/>
          </w:tcPr>
          <w:p w14:paraId="38597E06"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418" w:type="dxa"/>
            <w:noWrap/>
            <w:vAlign w:val="bottom"/>
            <w:hideMark/>
          </w:tcPr>
          <w:p w14:paraId="5C4478FB"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134" w:type="dxa"/>
            <w:noWrap/>
            <w:vAlign w:val="bottom"/>
            <w:hideMark/>
          </w:tcPr>
          <w:p w14:paraId="49E215FE"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979" w:type="dxa"/>
            <w:noWrap/>
            <w:vAlign w:val="bottom"/>
            <w:hideMark/>
          </w:tcPr>
          <w:p w14:paraId="01727ED4"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409" w:type="dxa"/>
            <w:noWrap/>
            <w:vAlign w:val="bottom"/>
            <w:hideMark/>
          </w:tcPr>
          <w:p w14:paraId="20783E6B"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238" w:type="dxa"/>
            <w:noWrap/>
            <w:vAlign w:val="bottom"/>
            <w:hideMark/>
          </w:tcPr>
          <w:p w14:paraId="3FFF5993"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332" w:type="dxa"/>
            <w:noWrap/>
            <w:vAlign w:val="bottom"/>
            <w:hideMark/>
          </w:tcPr>
          <w:p w14:paraId="421C456A"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r>
      <w:tr w:rsidR="00727AB8" w:rsidRPr="008B3CED" w14:paraId="6A0BEAB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AFA3C79"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Relative Advantage</w:t>
            </w:r>
          </w:p>
        </w:tc>
        <w:tc>
          <w:tcPr>
            <w:tcW w:w="1418" w:type="dxa"/>
            <w:noWrap/>
            <w:vAlign w:val="bottom"/>
            <w:hideMark/>
          </w:tcPr>
          <w:p w14:paraId="6CEEF6E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0.153</w:t>
            </w:r>
          </w:p>
        </w:tc>
        <w:tc>
          <w:tcPr>
            <w:tcW w:w="1417" w:type="dxa"/>
            <w:noWrap/>
            <w:vAlign w:val="bottom"/>
            <w:hideMark/>
          </w:tcPr>
          <w:p w14:paraId="2683BD70"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0.630</w:t>
            </w:r>
          </w:p>
        </w:tc>
        <w:tc>
          <w:tcPr>
            <w:tcW w:w="1418" w:type="dxa"/>
            <w:noWrap/>
            <w:vAlign w:val="bottom"/>
            <w:hideMark/>
          </w:tcPr>
          <w:p w14:paraId="27073559"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134" w:type="dxa"/>
            <w:noWrap/>
            <w:vAlign w:val="bottom"/>
            <w:hideMark/>
          </w:tcPr>
          <w:p w14:paraId="5A9671FE"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979" w:type="dxa"/>
            <w:noWrap/>
            <w:vAlign w:val="bottom"/>
            <w:hideMark/>
          </w:tcPr>
          <w:p w14:paraId="58A0153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409" w:type="dxa"/>
            <w:noWrap/>
            <w:vAlign w:val="bottom"/>
            <w:hideMark/>
          </w:tcPr>
          <w:p w14:paraId="105B7139"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238" w:type="dxa"/>
            <w:noWrap/>
            <w:vAlign w:val="bottom"/>
            <w:hideMark/>
          </w:tcPr>
          <w:p w14:paraId="1F1343B1"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332" w:type="dxa"/>
            <w:noWrap/>
            <w:vAlign w:val="bottom"/>
            <w:hideMark/>
          </w:tcPr>
          <w:p w14:paraId="4118A8AE"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r>
      <w:tr w:rsidR="00727AB8" w:rsidRPr="008B3CED" w14:paraId="5E302952"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638173D"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Cost of Ownership</w:t>
            </w:r>
          </w:p>
        </w:tc>
        <w:tc>
          <w:tcPr>
            <w:tcW w:w="1418" w:type="dxa"/>
            <w:noWrap/>
            <w:vAlign w:val="bottom"/>
            <w:hideMark/>
          </w:tcPr>
          <w:p w14:paraId="10E0782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0.127</w:t>
            </w:r>
          </w:p>
        </w:tc>
        <w:tc>
          <w:tcPr>
            <w:tcW w:w="1417" w:type="dxa"/>
            <w:noWrap/>
            <w:vAlign w:val="bottom"/>
            <w:hideMark/>
          </w:tcPr>
          <w:p w14:paraId="0E6EF0E0"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0.233</w:t>
            </w:r>
          </w:p>
        </w:tc>
        <w:tc>
          <w:tcPr>
            <w:tcW w:w="1418" w:type="dxa"/>
            <w:noWrap/>
            <w:vAlign w:val="bottom"/>
            <w:hideMark/>
          </w:tcPr>
          <w:p w14:paraId="511B8064"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0.738</w:t>
            </w:r>
          </w:p>
        </w:tc>
        <w:tc>
          <w:tcPr>
            <w:tcW w:w="1134" w:type="dxa"/>
            <w:noWrap/>
            <w:vAlign w:val="bottom"/>
            <w:hideMark/>
          </w:tcPr>
          <w:p w14:paraId="27194CF4"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979" w:type="dxa"/>
            <w:noWrap/>
            <w:vAlign w:val="bottom"/>
            <w:hideMark/>
          </w:tcPr>
          <w:p w14:paraId="10A9F134"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409" w:type="dxa"/>
            <w:noWrap/>
            <w:vAlign w:val="bottom"/>
            <w:hideMark/>
          </w:tcPr>
          <w:p w14:paraId="62971315"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238" w:type="dxa"/>
            <w:noWrap/>
            <w:vAlign w:val="bottom"/>
            <w:hideMark/>
          </w:tcPr>
          <w:p w14:paraId="58C3F980"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332" w:type="dxa"/>
            <w:noWrap/>
            <w:vAlign w:val="bottom"/>
            <w:hideMark/>
          </w:tcPr>
          <w:p w14:paraId="71477A6A"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r>
      <w:tr w:rsidR="00727AB8" w:rsidRPr="008B3CED" w14:paraId="129EC7C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8AE0F85"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Talent</w:t>
            </w:r>
          </w:p>
        </w:tc>
        <w:tc>
          <w:tcPr>
            <w:tcW w:w="1418" w:type="dxa"/>
            <w:noWrap/>
            <w:vAlign w:val="bottom"/>
            <w:hideMark/>
          </w:tcPr>
          <w:p w14:paraId="48964E43"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0.281</w:t>
            </w:r>
          </w:p>
        </w:tc>
        <w:tc>
          <w:tcPr>
            <w:tcW w:w="1417" w:type="dxa"/>
            <w:noWrap/>
            <w:vAlign w:val="bottom"/>
            <w:hideMark/>
          </w:tcPr>
          <w:p w14:paraId="49453E60"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0.163</w:t>
            </w:r>
          </w:p>
        </w:tc>
        <w:tc>
          <w:tcPr>
            <w:tcW w:w="1418" w:type="dxa"/>
            <w:noWrap/>
            <w:vAlign w:val="bottom"/>
            <w:hideMark/>
          </w:tcPr>
          <w:p w14:paraId="0076C125"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0.040</w:t>
            </w:r>
          </w:p>
        </w:tc>
        <w:tc>
          <w:tcPr>
            <w:tcW w:w="1134" w:type="dxa"/>
            <w:noWrap/>
            <w:vAlign w:val="bottom"/>
            <w:hideMark/>
          </w:tcPr>
          <w:p w14:paraId="66DC5ADE"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0.547</w:t>
            </w:r>
          </w:p>
        </w:tc>
        <w:tc>
          <w:tcPr>
            <w:tcW w:w="1979" w:type="dxa"/>
            <w:noWrap/>
            <w:vAlign w:val="bottom"/>
            <w:hideMark/>
          </w:tcPr>
          <w:p w14:paraId="2E96D9DB"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409" w:type="dxa"/>
            <w:noWrap/>
            <w:vAlign w:val="bottom"/>
            <w:hideMark/>
          </w:tcPr>
          <w:p w14:paraId="6C307861"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238" w:type="dxa"/>
            <w:noWrap/>
            <w:vAlign w:val="bottom"/>
            <w:hideMark/>
          </w:tcPr>
          <w:p w14:paraId="1A870891"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332" w:type="dxa"/>
            <w:noWrap/>
            <w:vAlign w:val="bottom"/>
            <w:hideMark/>
          </w:tcPr>
          <w:p w14:paraId="496068B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r>
      <w:tr w:rsidR="00727AB8" w:rsidRPr="008B3CED" w14:paraId="232C82BF"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0629160"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Top Management Support</w:t>
            </w:r>
          </w:p>
        </w:tc>
        <w:tc>
          <w:tcPr>
            <w:tcW w:w="1418" w:type="dxa"/>
            <w:noWrap/>
            <w:vAlign w:val="bottom"/>
            <w:hideMark/>
          </w:tcPr>
          <w:p w14:paraId="107014A7"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0.312</w:t>
            </w:r>
          </w:p>
        </w:tc>
        <w:tc>
          <w:tcPr>
            <w:tcW w:w="1417" w:type="dxa"/>
            <w:noWrap/>
            <w:vAlign w:val="bottom"/>
            <w:hideMark/>
          </w:tcPr>
          <w:p w14:paraId="36D4F90D"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0.347</w:t>
            </w:r>
          </w:p>
        </w:tc>
        <w:tc>
          <w:tcPr>
            <w:tcW w:w="1418" w:type="dxa"/>
            <w:noWrap/>
            <w:vAlign w:val="bottom"/>
            <w:hideMark/>
          </w:tcPr>
          <w:p w14:paraId="23632BE9"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0.139</w:t>
            </w:r>
          </w:p>
        </w:tc>
        <w:tc>
          <w:tcPr>
            <w:tcW w:w="1134" w:type="dxa"/>
            <w:noWrap/>
            <w:vAlign w:val="bottom"/>
            <w:hideMark/>
          </w:tcPr>
          <w:p w14:paraId="2E98485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0.472</w:t>
            </w:r>
          </w:p>
        </w:tc>
        <w:tc>
          <w:tcPr>
            <w:tcW w:w="1979" w:type="dxa"/>
            <w:noWrap/>
            <w:vAlign w:val="bottom"/>
            <w:hideMark/>
          </w:tcPr>
          <w:p w14:paraId="231CCC89"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0.683</w:t>
            </w:r>
          </w:p>
        </w:tc>
        <w:tc>
          <w:tcPr>
            <w:tcW w:w="1409" w:type="dxa"/>
            <w:noWrap/>
            <w:vAlign w:val="bottom"/>
            <w:hideMark/>
          </w:tcPr>
          <w:p w14:paraId="22DF78D1"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238" w:type="dxa"/>
            <w:noWrap/>
            <w:vAlign w:val="bottom"/>
            <w:hideMark/>
          </w:tcPr>
          <w:p w14:paraId="722AA39E"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332" w:type="dxa"/>
            <w:noWrap/>
            <w:vAlign w:val="bottom"/>
            <w:hideMark/>
          </w:tcPr>
          <w:p w14:paraId="68D3DF5B"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r>
      <w:tr w:rsidR="00727AB8" w:rsidRPr="008B3CED" w14:paraId="0F567B2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DA0A74F"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ERM Alignment</w:t>
            </w:r>
          </w:p>
        </w:tc>
        <w:tc>
          <w:tcPr>
            <w:tcW w:w="1418" w:type="dxa"/>
            <w:noWrap/>
            <w:vAlign w:val="bottom"/>
            <w:hideMark/>
          </w:tcPr>
          <w:p w14:paraId="173F7E4F"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0.152</w:t>
            </w:r>
          </w:p>
        </w:tc>
        <w:tc>
          <w:tcPr>
            <w:tcW w:w="1417" w:type="dxa"/>
            <w:noWrap/>
            <w:vAlign w:val="bottom"/>
            <w:hideMark/>
          </w:tcPr>
          <w:p w14:paraId="79DD52DF"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0.106</w:t>
            </w:r>
          </w:p>
        </w:tc>
        <w:tc>
          <w:tcPr>
            <w:tcW w:w="1418" w:type="dxa"/>
            <w:noWrap/>
            <w:vAlign w:val="bottom"/>
            <w:hideMark/>
          </w:tcPr>
          <w:p w14:paraId="3AC11B5D"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0.001</w:t>
            </w:r>
          </w:p>
        </w:tc>
        <w:tc>
          <w:tcPr>
            <w:tcW w:w="1134" w:type="dxa"/>
            <w:noWrap/>
            <w:vAlign w:val="bottom"/>
            <w:hideMark/>
          </w:tcPr>
          <w:p w14:paraId="1D439D6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0.245</w:t>
            </w:r>
          </w:p>
        </w:tc>
        <w:tc>
          <w:tcPr>
            <w:tcW w:w="1979" w:type="dxa"/>
            <w:noWrap/>
            <w:vAlign w:val="bottom"/>
            <w:hideMark/>
          </w:tcPr>
          <w:p w14:paraId="45FAFB85"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0.383</w:t>
            </w:r>
          </w:p>
        </w:tc>
        <w:tc>
          <w:tcPr>
            <w:tcW w:w="1409" w:type="dxa"/>
            <w:noWrap/>
            <w:vAlign w:val="bottom"/>
            <w:hideMark/>
          </w:tcPr>
          <w:p w14:paraId="488FFB80"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0.709</w:t>
            </w:r>
          </w:p>
        </w:tc>
        <w:tc>
          <w:tcPr>
            <w:tcW w:w="1238" w:type="dxa"/>
            <w:noWrap/>
            <w:vAlign w:val="bottom"/>
            <w:hideMark/>
          </w:tcPr>
          <w:p w14:paraId="56B043B3"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c>
          <w:tcPr>
            <w:tcW w:w="1332" w:type="dxa"/>
            <w:noWrap/>
            <w:vAlign w:val="bottom"/>
            <w:hideMark/>
          </w:tcPr>
          <w:p w14:paraId="432220F0"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r>
      <w:tr w:rsidR="00727AB8" w:rsidRPr="008B3CED" w14:paraId="7D9D4708"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03BEF9C3"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External Pressure</w:t>
            </w:r>
          </w:p>
        </w:tc>
        <w:tc>
          <w:tcPr>
            <w:tcW w:w="1418" w:type="dxa"/>
            <w:noWrap/>
            <w:vAlign w:val="bottom"/>
            <w:hideMark/>
          </w:tcPr>
          <w:p w14:paraId="50804D9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0.269</w:t>
            </w:r>
          </w:p>
        </w:tc>
        <w:tc>
          <w:tcPr>
            <w:tcW w:w="1417" w:type="dxa"/>
            <w:noWrap/>
            <w:vAlign w:val="bottom"/>
            <w:hideMark/>
          </w:tcPr>
          <w:p w14:paraId="652E341C"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0.212</w:t>
            </w:r>
          </w:p>
        </w:tc>
        <w:tc>
          <w:tcPr>
            <w:tcW w:w="1418" w:type="dxa"/>
            <w:noWrap/>
            <w:vAlign w:val="bottom"/>
            <w:hideMark/>
          </w:tcPr>
          <w:p w14:paraId="3891F93A"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0.085</w:t>
            </w:r>
          </w:p>
        </w:tc>
        <w:tc>
          <w:tcPr>
            <w:tcW w:w="1134" w:type="dxa"/>
            <w:noWrap/>
            <w:vAlign w:val="bottom"/>
            <w:hideMark/>
          </w:tcPr>
          <w:p w14:paraId="531304DB"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0.430</w:t>
            </w:r>
          </w:p>
        </w:tc>
        <w:tc>
          <w:tcPr>
            <w:tcW w:w="1979" w:type="dxa"/>
            <w:noWrap/>
            <w:vAlign w:val="bottom"/>
            <w:hideMark/>
          </w:tcPr>
          <w:p w14:paraId="1BAE16C9"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0.525</w:t>
            </w:r>
          </w:p>
        </w:tc>
        <w:tc>
          <w:tcPr>
            <w:tcW w:w="1409" w:type="dxa"/>
            <w:noWrap/>
            <w:vAlign w:val="bottom"/>
            <w:hideMark/>
          </w:tcPr>
          <w:p w14:paraId="00ACCC9A"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0.484</w:t>
            </w:r>
          </w:p>
        </w:tc>
        <w:tc>
          <w:tcPr>
            <w:tcW w:w="1238" w:type="dxa"/>
            <w:noWrap/>
            <w:vAlign w:val="bottom"/>
            <w:hideMark/>
          </w:tcPr>
          <w:p w14:paraId="0031F08A"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0.619</w:t>
            </w:r>
          </w:p>
        </w:tc>
        <w:tc>
          <w:tcPr>
            <w:tcW w:w="1332" w:type="dxa"/>
            <w:noWrap/>
            <w:vAlign w:val="bottom"/>
            <w:hideMark/>
          </w:tcPr>
          <w:p w14:paraId="16E58147"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p>
        </w:tc>
      </w:tr>
      <w:tr w:rsidR="00727AB8" w:rsidRPr="008B3CED" w14:paraId="2723A820"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2830" w:type="dxa"/>
            <w:noWrap/>
            <w:hideMark/>
          </w:tcPr>
          <w:p w14:paraId="15BB083A" w14:textId="77777777" w:rsidR="00B61765" w:rsidRPr="008B3CED" w:rsidRDefault="00B61765" w:rsidP="008B3CED">
            <w:pPr>
              <w:pStyle w:val="tablecaption"/>
              <w:keepNext w:val="0"/>
              <w:keepLines w:val="0"/>
              <w:widowControl w:val="0"/>
              <w:spacing w:before="40" w:after="60" w:line="240" w:lineRule="auto"/>
              <w:contextualSpacing w:val="0"/>
              <w:rPr>
                <w:b w:val="0"/>
                <w:sz w:val="23"/>
                <w:szCs w:val="23"/>
              </w:rPr>
            </w:pPr>
            <w:r w:rsidRPr="008B3CED">
              <w:rPr>
                <w:b w:val="0"/>
                <w:sz w:val="23"/>
                <w:szCs w:val="23"/>
              </w:rPr>
              <w:t>Disruption Response</w:t>
            </w:r>
          </w:p>
        </w:tc>
        <w:tc>
          <w:tcPr>
            <w:tcW w:w="1418" w:type="dxa"/>
            <w:noWrap/>
            <w:vAlign w:val="bottom"/>
            <w:hideMark/>
          </w:tcPr>
          <w:p w14:paraId="43375889"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0.294</w:t>
            </w:r>
          </w:p>
        </w:tc>
        <w:tc>
          <w:tcPr>
            <w:tcW w:w="1417" w:type="dxa"/>
            <w:noWrap/>
            <w:vAlign w:val="bottom"/>
            <w:hideMark/>
          </w:tcPr>
          <w:p w14:paraId="3D4C53D7"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0.141</w:t>
            </w:r>
          </w:p>
        </w:tc>
        <w:tc>
          <w:tcPr>
            <w:tcW w:w="1418" w:type="dxa"/>
            <w:noWrap/>
            <w:vAlign w:val="bottom"/>
            <w:hideMark/>
          </w:tcPr>
          <w:p w14:paraId="3439314E"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0.087</w:t>
            </w:r>
          </w:p>
        </w:tc>
        <w:tc>
          <w:tcPr>
            <w:tcW w:w="1134" w:type="dxa"/>
            <w:noWrap/>
            <w:vAlign w:val="bottom"/>
            <w:hideMark/>
          </w:tcPr>
          <w:p w14:paraId="11253AC8"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0.184</w:t>
            </w:r>
          </w:p>
        </w:tc>
        <w:tc>
          <w:tcPr>
            <w:tcW w:w="1979" w:type="dxa"/>
            <w:noWrap/>
            <w:vAlign w:val="bottom"/>
            <w:hideMark/>
          </w:tcPr>
          <w:p w14:paraId="5C4CBC08"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0.223</w:t>
            </w:r>
          </w:p>
        </w:tc>
        <w:tc>
          <w:tcPr>
            <w:tcW w:w="1409" w:type="dxa"/>
            <w:noWrap/>
            <w:vAlign w:val="bottom"/>
            <w:hideMark/>
          </w:tcPr>
          <w:p w14:paraId="06D673A6"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0.137</w:t>
            </w:r>
          </w:p>
        </w:tc>
        <w:tc>
          <w:tcPr>
            <w:tcW w:w="1238" w:type="dxa"/>
            <w:noWrap/>
            <w:vAlign w:val="bottom"/>
            <w:hideMark/>
          </w:tcPr>
          <w:p w14:paraId="6C1F5AA1"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Cs/>
                <w:sz w:val="23"/>
                <w:szCs w:val="23"/>
              </w:rPr>
            </w:pPr>
            <w:r w:rsidRPr="008B3CED">
              <w:rPr>
                <w:sz w:val="23"/>
                <w:szCs w:val="23"/>
              </w:rPr>
              <w:t>0.336</w:t>
            </w:r>
          </w:p>
        </w:tc>
        <w:tc>
          <w:tcPr>
            <w:tcW w:w="1332" w:type="dxa"/>
            <w:noWrap/>
            <w:vAlign w:val="bottom"/>
            <w:hideMark/>
          </w:tcPr>
          <w:p w14:paraId="09E4BC97" w14:textId="77777777" w:rsidR="00B61765" w:rsidRPr="008B3CED" w:rsidRDefault="00B61765" w:rsidP="008B3CED">
            <w:pPr>
              <w:pStyle w:val="tablecaption"/>
              <w:keepNext w:val="0"/>
              <w:keepLines w:val="0"/>
              <w:widowControl w:val="0"/>
              <w:spacing w:before="40" w:after="60" w:line="240" w:lineRule="auto"/>
              <w:contextualSpacing w:val="0"/>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0.605</w:t>
            </w:r>
          </w:p>
        </w:tc>
      </w:tr>
    </w:tbl>
    <w:p w14:paraId="607D0F81" w14:textId="3062B4AF" w:rsidR="00B61765" w:rsidRPr="00727AB8" w:rsidRDefault="00B61765" w:rsidP="00727AB8">
      <w:pPr>
        <w:pStyle w:val="BodyText"/>
        <w:spacing w:line="252" w:lineRule="auto"/>
        <w:ind w:firstLine="0"/>
        <w:rPr>
          <w:sz w:val="20"/>
          <w:szCs w:val="20"/>
        </w:rPr>
      </w:pPr>
      <w:r w:rsidRPr="00727AB8">
        <w:rPr>
          <w:sz w:val="20"/>
          <w:szCs w:val="20"/>
        </w:rPr>
        <w:t xml:space="preserve">Source: </w:t>
      </w:r>
      <w:r w:rsidR="007D261C" w:rsidRPr="00727AB8">
        <w:rPr>
          <w:sz w:val="20"/>
          <w:szCs w:val="20"/>
        </w:rPr>
        <w:t xml:space="preserve"> </w:t>
      </w:r>
      <w:r w:rsidR="005127F1" w:rsidRPr="00727AB8">
        <w:rPr>
          <w:sz w:val="20"/>
          <w:szCs w:val="20"/>
        </w:rPr>
        <w:t>Author’s ADANCO output</w:t>
      </w:r>
    </w:p>
    <w:p w14:paraId="38C8A154" w14:textId="2B076E22" w:rsidR="00B61765" w:rsidRPr="00727AB8" w:rsidRDefault="00B61765" w:rsidP="008B3CED">
      <w:pPr>
        <w:pStyle w:val="BodyText"/>
        <w:ind w:firstLine="0"/>
        <w:rPr>
          <w:b/>
          <w:bCs/>
        </w:rPr>
      </w:pPr>
      <w:r w:rsidRPr="00727AB8">
        <w:rPr>
          <w:b/>
          <w:bCs/>
        </w:rPr>
        <w:t>Table 10</w:t>
      </w:r>
    </w:p>
    <w:p w14:paraId="03E1E8B7" w14:textId="1CF50895" w:rsidR="00B61765" w:rsidRPr="00727AB8" w:rsidRDefault="00B61765" w:rsidP="008B3CED">
      <w:pPr>
        <w:pStyle w:val="BodyText"/>
        <w:spacing w:after="120"/>
        <w:ind w:firstLine="0"/>
      </w:pPr>
      <w:r w:rsidRPr="00727AB8">
        <w:t>Cross loadings</w:t>
      </w:r>
    </w:p>
    <w:tbl>
      <w:tblPr>
        <w:tblStyle w:val="GridTable1Light"/>
        <w:tblW w:w="14175" w:type="dxa"/>
        <w:jc w:val="center"/>
        <w:tblLayout w:type="fixed"/>
        <w:tblCellMar>
          <w:left w:w="57" w:type="dxa"/>
          <w:right w:w="57" w:type="dxa"/>
        </w:tblCellMar>
        <w:tblLook w:val="04A0" w:firstRow="1" w:lastRow="0" w:firstColumn="1" w:lastColumn="0" w:noHBand="0" w:noVBand="1"/>
      </w:tblPr>
      <w:tblGrid>
        <w:gridCol w:w="1555"/>
        <w:gridCol w:w="1701"/>
        <w:gridCol w:w="1417"/>
        <w:gridCol w:w="1701"/>
        <w:gridCol w:w="1134"/>
        <w:gridCol w:w="2047"/>
        <w:gridCol w:w="1283"/>
        <w:gridCol w:w="1449"/>
        <w:gridCol w:w="1888"/>
      </w:tblGrid>
      <w:tr w:rsidR="008B3CED" w:rsidRPr="008B3CED" w14:paraId="156A2686" w14:textId="77777777" w:rsidTr="008B3CE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92B5551" w14:textId="77777777" w:rsidR="00B61765" w:rsidRPr="008B3CED" w:rsidRDefault="00B61765" w:rsidP="008B3CED">
            <w:pPr>
              <w:widowControl w:val="0"/>
              <w:spacing w:before="40" w:after="50"/>
              <w:rPr>
                <w:sz w:val="23"/>
                <w:szCs w:val="23"/>
                <w:lang w:val="en-IN"/>
              </w:rPr>
            </w:pPr>
            <w:r w:rsidRPr="008B3CED">
              <w:rPr>
                <w:sz w:val="23"/>
                <w:szCs w:val="23"/>
              </w:rPr>
              <w:t>Item</w:t>
            </w:r>
          </w:p>
        </w:tc>
        <w:tc>
          <w:tcPr>
            <w:tcW w:w="1701" w:type="dxa"/>
            <w:noWrap/>
            <w:hideMark/>
          </w:tcPr>
          <w:p w14:paraId="6E74E17C"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Big Data Management</w:t>
            </w:r>
          </w:p>
        </w:tc>
        <w:tc>
          <w:tcPr>
            <w:tcW w:w="1417" w:type="dxa"/>
            <w:noWrap/>
            <w:hideMark/>
          </w:tcPr>
          <w:p w14:paraId="14FB42D1"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Relative Advantage</w:t>
            </w:r>
          </w:p>
        </w:tc>
        <w:tc>
          <w:tcPr>
            <w:tcW w:w="1701" w:type="dxa"/>
            <w:noWrap/>
            <w:hideMark/>
          </w:tcPr>
          <w:p w14:paraId="063F0DA4"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Cost of Ownership</w:t>
            </w:r>
          </w:p>
        </w:tc>
        <w:tc>
          <w:tcPr>
            <w:tcW w:w="1134" w:type="dxa"/>
            <w:noWrap/>
            <w:hideMark/>
          </w:tcPr>
          <w:p w14:paraId="3BFB0B85"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Talent</w:t>
            </w:r>
          </w:p>
        </w:tc>
        <w:tc>
          <w:tcPr>
            <w:tcW w:w="2047" w:type="dxa"/>
            <w:noWrap/>
            <w:hideMark/>
          </w:tcPr>
          <w:p w14:paraId="28F5B6F9"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Top Management Support</w:t>
            </w:r>
          </w:p>
        </w:tc>
        <w:tc>
          <w:tcPr>
            <w:tcW w:w="1283" w:type="dxa"/>
            <w:noWrap/>
            <w:hideMark/>
          </w:tcPr>
          <w:p w14:paraId="75793722"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ERM Alignment</w:t>
            </w:r>
          </w:p>
        </w:tc>
        <w:tc>
          <w:tcPr>
            <w:tcW w:w="1449" w:type="dxa"/>
            <w:noWrap/>
            <w:hideMark/>
          </w:tcPr>
          <w:p w14:paraId="46451AE6"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External Pressure</w:t>
            </w:r>
          </w:p>
        </w:tc>
        <w:tc>
          <w:tcPr>
            <w:tcW w:w="1888" w:type="dxa"/>
            <w:noWrap/>
            <w:hideMark/>
          </w:tcPr>
          <w:p w14:paraId="6425B3A8" w14:textId="77777777" w:rsidR="00B61765" w:rsidRPr="008B3CED" w:rsidRDefault="00B61765" w:rsidP="008B3CED">
            <w:pPr>
              <w:widowControl w:val="0"/>
              <w:spacing w:before="40" w:after="50"/>
              <w:jc w:val="center"/>
              <w:cnfStyle w:val="100000000000" w:firstRow="1" w:lastRow="0" w:firstColumn="0" w:lastColumn="0" w:oddVBand="0" w:evenVBand="0" w:oddHBand="0" w:evenHBand="0" w:firstRowFirstColumn="0" w:firstRowLastColumn="0" w:lastRowFirstColumn="0" w:lastRowLastColumn="0"/>
              <w:rPr>
                <w:sz w:val="23"/>
                <w:szCs w:val="23"/>
              </w:rPr>
            </w:pPr>
            <w:r w:rsidRPr="008B3CED">
              <w:rPr>
                <w:sz w:val="23"/>
                <w:szCs w:val="23"/>
              </w:rPr>
              <w:t>Disruption Response</w:t>
            </w:r>
          </w:p>
        </w:tc>
      </w:tr>
      <w:tr w:rsidR="008B3CED" w:rsidRPr="008B3CED" w14:paraId="56B30B52"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454AB23" w14:textId="77777777" w:rsidR="00B61765" w:rsidRPr="008B3CED" w:rsidRDefault="00B61765" w:rsidP="008B3CED">
            <w:pPr>
              <w:widowControl w:val="0"/>
              <w:spacing w:before="40" w:after="50"/>
              <w:rPr>
                <w:b w:val="0"/>
                <w:bCs w:val="0"/>
                <w:sz w:val="23"/>
                <w:szCs w:val="23"/>
              </w:rPr>
            </w:pPr>
            <w:r w:rsidRPr="008B3CED">
              <w:rPr>
                <w:b w:val="0"/>
                <w:bCs w:val="0"/>
                <w:sz w:val="23"/>
                <w:szCs w:val="23"/>
              </w:rPr>
              <w:t>BDM1</w:t>
            </w:r>
          </w:p>
        </w:tc>
        <w:tc>
          <w:tcPr>
            <w:tcW w:w="1701" w:type="dxa"/>
            <w:noWrap/>
            <w:hideMark/>
          </w:tcPr>
          <w:p w14:paraId="5F3629F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0.829</w:t>
            </w:r>
          </w:p>
        </w:tc>
        <w:tc>
          <w:tcPr>
            <w:tcW w:w="1417" w:type="dxa"/>
            <w:noWrap/>
            <w:hideMark/>
          </w:tcPr>
          <w:p w14:paraId="3BF5CBA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0.328</w:t>
            </w:r>
          </w:p>
        </w:tc>
        <w:tc>
          <w:tcPr>
            <w:tcW w:w="1701" w:type="dxa"/>
            <w:noWrap/>
            <w:hideMark/>
          </w:tcPr>
          <w:p w14:paraId="5F93232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0.319</w:t>
            </w:r>
          </w:p>
        </w:tc>
        <w:tc>
          <w:tcPr>
            <w:tcW w:w="1134" w:type="dxa"/>
            <w:noWrap/>
            <w:hideMark/>
          </w:tcPr>
          <w:p w14:paraId="2AB88CA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0.534</w:t>
            </w:r>
          </w:p>
        </w:tc>
        <w:tc>
          <w:tcPr>
            <w:tcW w:w="2047" w:type="dxa"/>
            <w:noWrap/>
            <w:hideMark/>
          </w:tcPr>
          <w:p w14:paraId="04F985D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0.521</w:t>
            </w:r>
          </w:p>
        </w:tc>
        <w:tc>
          <w:tcPr>
            <w:tcW w:w="1283" w:type="dxa"/>
            <w:noWrap/>
            <w:hideMark/>
          </w:tcPr>
          <w:p w14:paraId="73905D6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0.405</w:t>
            </w:r>
          </w:p>
        </w:tc>
        <w:tc>
          <w:tcPr>
            <w:tcW w:w="1449" w:type="dxa"/>
            <w:noWrap/>
            <w:hideMark/>
          </w:tcPr>
          <w:p w14:paraId="045BF92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0.533</w:t>
            </w:r>
          </w:p>
        </w:tc>
        <w:tc>
          <w:tcPr>
            <w:tcW w:w="1888" w:type="dxa"/>
            <w:noWrap/>
            <w:hideMark/>
          </w:tcPr>
          <w:p w14:paraId="57724AF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0.558</w:t>
            </w:r>
          </w:p>
        </w:tc>
      </w:tr>
      <w:tr w:rsidR="008B3CED" w:rsidRPr="008B3CED" w14:paraId="1BB1521D"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DC632F7" w14:textId="77777777" w:rsidR="00B61765" w:rsidRPr="008B3CED" w:rsidRDefault="00B61765" w:rsidP="008B3CED">
            <w:pPr>
              <w:widowControl w:val="0"/>
              <w:spacing w:before="40" w:after="50"/>
              <w:rPr>
                <w:b w:val="0"/>
                <w:bCs w:val="0"/>
                <w:sz w:val="23"/>
                <w:szCs w:val="23"/>
              </w:rPr>
            </w:pPr>
            <w:r w:rsidRPr="008B3CED">
              <w:rPr>
                <w:b w:val="0"/>
                <w:bCs w:val="0"/>
                <w:sz w:val="23"/>
                <w:szCs w:val="23"/>
              </w:rPr>
              <w:t>BDM2</w:t>
            </w:r>
          </w:p>
        </w:tc>
        <w:tc>
          <w:tcPr>
            <w:tcW w:w="1701" w:type="dxa"/>
            <w:noWrap/>
            <w:hideMark/>
          </w:tcPr>
          <w:p w14:paraId="279DEFF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0.870</w:t>
            </w:r>
          </w:p>
        </w:tc>
        <w:tc>
          <w:tcPr>
            <w:tcW w:w="1417" w:type="dxa"/>
            <w:noWrap/>
            <w:hideMark/>
          </w:tcPr>
          <w:p w14:paraId="710BC67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0.273</w:t>
            </w:r>
          </w:p>
        </w:tc>
        <w:tc>
          <w:tcPr>
            <w:tcW w:w="1701" w:type="dxa"/>
            <w:noWrap/>
            <w:hideMark/>
          </w:tcPr>
          <w:p w14:paraId="6BC8FCF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0.257</w:t>
            </w:r>
          </w:p>
        </w:tc>
        <w:tc>
          <w:tcPr>
            <w:tcW w:w="1134" w:type="dxa"/>
            <w:noWrap/>
            <w:hideMark/>
          </w:tcPr>
          <w:p w14:paraId="189CC1B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0.471</w:t>
            </w:r>
          </w:p>
        </w:tc>
        <w:tc>
          <w:tcPr>
            <w:tcW w:w="2047" w:type="dxa"/>
            <w:noWrap/>
            <w:hideMark/>
          </w:tcPr>
          <w:p w14:paraId="50C0F97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0.457</w:t>
            </w:r>
          </w:p>
        </w:tc>
        <w:tc>
          <w:tcPr>
            <w:tcW w:w="1283" w:type="dxa"/>
            <w:noWrap/>
            <w:hideMark/>
          </w:tcPr>
          <w:p w14:paraId="162F8F4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0.335</w:t>
            </w:r>
          </w:p>
        </w:tc>
        <w:tc>
          <w:tcPr>
            <w:tcW w:w="1449" w:type="dxa"/>
            <w:noWrap/>
            <w:hideMark/>
          </w:tcPr>
          <w:p w14:paraId="3998FF2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0.433</w:t>
            </w:r>
          </w:p>
        </w:tc>
        <w:tc>
          <w:tcPr>
            <w:tcW w:w="1888" w:type="dxa"/>
            <w:noWrap/>
            <w:hideMark/>
          </w:tcPr>
          <w:p w14:paraId="3D81128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0.425</w:t>
            </w:r>
          </w:p>
        </w:tc>
      </w:tr>
      <w:tr w:rsidR="008B3CED" w:rsidRPr="008B3CED" w14:paraId="5C84EF8D"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CA7E06C" w14:textId="77777777" w:rsidR="00B61765" w:rsidRPr="008B3CED" w:rsidRDefault="00B61765" w:rsidP="008B3CED">
            <w:pPr>
              <w:widowControl w:val="0"/>
              <w:spacing w:before="40" w:after="50"/>
              <w:rPr>
                <w:b w:val="0"/>
                <w:bCs w:val="0"/>
                <w:sz w:val="23"/>
                <w:szCs w:val="23"/>
              </w:rPr>
            </w:pPr>
            <w:r w:rsidRPr="008B3CED">
              <w:rPr>
                <w:b w:val="0"/>
                <w:bCs w:val="0"/>
                <w:sz w:val="23"/>
                <w:szCs w:val="23"/>
              </w:rPr>
              <w:t>BDM3</w:t>
            </w:r>
          </w:p>
        </w:tc>
        <w:tc>
          <w:tcPr>
            <w:tcW w:w="1701" w:type="dxa"/>
            <w:noWrap/>
            <w:hideMark/>
          </w:tcPr>
          <w:p w14:paraId="4F5990C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0.742</w:t>
            </w:r>
          </w:p>
        </w:tc>
        <w:tc>
          <w:tcPr>
            <w:tcW w:w="1417" w:type="dxa"/>
            <w:noWrap/>
            <w:hideMark/>
          </w:tcPr>
          <w:p w14:paraId="3A144B1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0.318</w:t>
            </w:r>
          </w:p>
        </w:tc>
        <w:tc>
          <w:tcPr>
            <w:tcW w:w="1701" w:type="dxa"/>
            <w:noWrap/>
            <w:hideMark/>
          </w:tcPr>
          <w:p w14:paraId="37922DB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0.276</w:t>
            </w:r>
          </w:p>
        </w:tc>
        <w:tc>
          <w:tcPr>
            <w:tcW w:w="1134" w:type="dxa"/>
            <w:noWrap/>
            <w:hideMark/>
          </w:tcPr>
          <w:p w14:paraId="7DF0965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0.352</w:t>
            </w:r>
          </w:p>
        </w:tc>
        <w:tc>
          <w:tcPr>
            <w:tcW w:w="2047" w:type="dxa"/>
            <w:noWrap/>
            <w:hideMark/>
          </w:tcPr>
          <w:p w14:paraId="11C3EDF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0.389</w:t>
            </w:r>
          </w:p>
        </w:tc>
        <w:tc>
          <w:tcPr>
            <w:tcW w:w="1283" w:type="dxa"/>
            <w:noWrap/>
            <w:hideMark/>
          </w:tcPr>
          <w:p w14:paraId="248D8B8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0.196</w:t>
            </w:r>
          </w:p>
        </w:tc>
        <w:tc>
          <w:tcPr>
            <w:tcW w:w="1449" w:type="dxa"/>
            <w:noWrap/>
            <w:hideMark/>
          </w:tcPr>
          <w:p w14:paraId="652E8F9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0.277</w:t>
            </w:r>
          </w:p>
        </w:tc>
        <w:tc>
          <w:tcPr>
            <w:tcW w:w="1888" w:type="dxa"/>
            <w:noWrap/>
            <w:hideMark/>
          </w:tcPr>
          <w:p w14:paraId="46483E2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0.346</w:t>
            </w:r>
          </w:p>
        </w:tc>
      </w:tr>
      <w:tr w:rsidR="008B3CED" w:rsidRPr="008B3CED" w14:paraId="75CB4E90"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2E6D374" w14:textId="77777777" w:rsidR="00B61765" w:rsidRPr="008B3CED" w:rsidRDefault="00B61765" w:rsidP="008B3CED">
            <w:pPr>
              <w:widowControl w:val="0"/>
              <w:spacing w:before="40" w:after="50"/>
              <w:rPr>
                <w:b w:val="0"/>
                <w:bCs w:val="0"/>
                <w:sz w:val="23"/>
                <w:szCs w:val="23"/>
              </w:rPr>
            </w:pPr>
            <w:r w:rsidRPr="008B3CED">
              <w:rPr>
                <w:b w:val="0"/>
                <w:bCs w:val="0"/>
                <w:sz w:val="23"/>
                <w:szCs w:val="23"/>
              </w:rPr>
              <w:t>BDM4</w:t>
            </w:r>
          </w:p>
        </w:tc>
        <w:tc>
          <w:tcPr>
            <w:tcW w:w="1701" w:type="dxa"/>
            <w:noWrap/>
            <w:hideMark/>
          </w:tcPr>
          <w:p w14:paraId="1C4B042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0.778</w:t>
            </w:r>
          </w:p>
        </w:tc>
        <w:tc>
          <w:tcPr>
            <w:tcW w:w="1417" w:type="dxa"/>
            <w:noWrap/>
            <w:hideMark/>
          </w:tcPr>
          <w:p w14:paraId="04EBEFB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0.350</w:t>
            </w:r>
          </w:p>
        </w:tc>
        <w:tc>
          <w:tcPr>
            <w:tcW w:w="1701" w:type="dxa"/>
            <w:noWrap/>
            <w:hideMark/>
          </w:tcPr>
          <w:p w14:paraId="6A58104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0.301</w:t>
            </w:r>
          </w:p>
        </w:tc>
        <w:tc>
          <w:tcPr>
            <w:tcW w:w="1134" w:type="dxa"/>
            <w:noWrap/>
            <w:hideMark/>
          </w:tcPr>
          <w:p w14:paraId="4F74601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0.340</w:t>
            </w:r>
          </w:p>
        </w:tc>
        <w:tc>
          <w:tcPr>
            <w:tcW w:w="2047" w:type="dxa"/>
            <w:noWrap/>
            <w:hideMark/>
          </w:tcPr>
          <w:p w14:paraId="3E97EB7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0.429</w:t>
            </w:r>
          </w:p>
        </w:tc>
        <w:tc>
          <w:tcPr>
            <w:tcW w:w="1283" w:type="dxa"/>
            <w:noWrap/>
            <w:hideMark/>
          </w:tcPr>
          <w:p w14:paraId="6531E1A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0.309</w:t>
            </w:r>
          </w:p>
        </w:tc>
        <w:tc>
          <w:tcPr>
            <w:tcW w:w="1449" w:type="dxa"/>
            <w:noWrap/>
            <w:hideMark/>
          </w:tcPr>
          <w:p w14:paraId="45AB2CF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0.418</w:t>
            </w:r>
          </w:p>
        </w:tc>
        <w:tc>
          <w:tcPr>
            <w:tcW w:w="1888" w:type="dxa"/>
            <w:noWrap/>
            <w:hideMark/>
          </w:tcPr>
          <w:p w14:paraId="52E9FE3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0.411</w:t>
            </w:r>
          </w:p>
        </w:tc>
      </w:tr>
      <w:tr w:rsidR="008B3CED" w:rsidRPr="008B3CED" w14:paraId="0ABFEE49"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391D371" w14:textId="77777777" w:rsidR="00B61765" w:rsidRPr="008B3CED" w:rsidRDefault="00B61765" w:rsidP="008B3CED">
            <w:pPr>
              <w:widowControl w:val="0"/>
              <w:spacing w:before="40" w:after="50"/>
              <w:rPr>
                <w:b w:val="0"/>
                <w:bCs w:val="0"/>
                <w:sz w:val="23"/>
                <w:szCs w:val="23"/>
              </w:rPr>
            </w:pPr>
            <w:r w:rsidRPr="008B3CED">
              <w:rPr>
                <w:b w:val="0"/>
                <w:bCs w:val="0"/>
                <w:sz w:val="23"/>
                <w:szCs w:val="23"/>
              </w:rPr>
              <w:t>RAD1</w:t>
            </w:r>
          </w:p>
        </w:tc>
        <w:tc>
          <w:tcPr>
            <w:tcW w:w="1701" w:type="dxa"/>
            <w:noWrap/>
            <w:hideMark/>
          </w:tcPr>
          <w:p w14:paraId="5C69438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0.414</w:t>
            </w:r>
          </w:p>
        </w:tc>
        <w:tc>
          <w:tcPr>
            <w:tcW w:w="1417" w:type="dxa"/>
            <w:noWrap/>
            <w:hideMark/>
          </w:tcPr>
          <w:p w14:paraId="4D509C0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0.809</w:t>
            </w:r>
          </w:p>
        </w:tc>
        <w:tc>
          <w:tcPr>
            <w:tcW w:w="1701" w:type="dxa"/>
            <w:noWrap/>
            <w:hideMark/>
          </w:tcPr>
          <w:p w14:paraId="287FDB9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0.435</w:t>
            </w:r>
          </w:p>
        </w:tc>
        <w:tc>
          <w:tcPr>
            <w:tcW w:w="1134" w:type="dxa"/>
            <w:noWrap/>
            <w:hideMark/>
          </w:tcPr>
          <w:p w14:paraId="4C19130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0.362</w:t>
            </w:r>
          </w:p>
        </w:tc>
        <w:tc>
          <w:tcPr>
            <w:tcW w:w="2047" w:type="dxa"/>
            <w:noWrap/>
            <w:hideMark/>
          </w:tcPr>
          <w:p w14:paraId="78FB596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0.428</w:t>
            </w:r>
          </w:p>
        </w:tc>
        <w:tc>
          <w:tcPr>
            <w:tcW w:w="1283" w:type="dxa"/>
            <w:noWrap/>
            <w:hideMark/>
          </w:tcPr>
          <w:p w14:paraId="5DA1427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0.174</w:t>
            </w:r>
          </w:p>
        </w:tc>
        <w:tc>
          <w:tcPr>
            <w:tcW w:w="1449" w:type="dxa"/>
            <w:noWrap/>
            <w:hideMark/>
          </w:tcPr>
          <w:p w14:paraId="0E7FDA3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0.410</w:t>
            </w:r>
          </w:p>
        </w:tc>
        <w:tc>
          <w:tcPr>
            <w:tcW w:w="1888" w:type="dxa"/>
            <w:noWrap/>
            <w:hideMark/>
          </w:tcPr>
          <w:p w14:paraId="59E3945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0.293</w:t>
            </w:r>
          </w:p>
        </w:tc>
      </w:tr>
      <w:tr w:rsidR="008B3CED" w:rsidRPr="008B3CED" w14:paraId="67F4C0E9"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0251DF8" w14:textId="77777777" w:rsidR="00B61765" w:rsidRPr="008B3CED" w:rsidRDefault="00B61765" w:rsidP="008B3CED">
            <w:pPr>
              <w:widowControl w:val="0"/>
              <w:spacing w:before="40" w:after="50"/>
              <w:rPr>
                <w:b w:val="0"/>
                <w:bCs w:val="0"/>
                <w:sz w:val="23"/>
                <w:szCs w:val="23"/>
              </w:rPr>
            </w:pPr>
            <w:r w:rsidRPr="008B3CED">
              <w:rPr>
                <w:b w:val="0"/>
                <w:bCs w:val="0"/>
                <w:sz w:val="23"/>
                <w:szCs w:val="23"/>
              </w:rPr>
              <w:t>RAD2</w:t>
            </w:r>
          </w:p>
        </w:tc>
        <w:tc>
          <w:tcPr>
            <w:tcW w:w="1701" w:type="dxa"/>
            <w:noWrap/>
            <w:hideMark/>
          </w:tcPr>
          <w:p w14:paraId="2AFB767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0.305</w:t>
            </w:r>
          </w:p>
        </w:tc>
        <w:tc>
          <w:tcPr>
            <w:tcW w:w="1417" w:type="dxa"/>
            <w:noWrap/>
            <w:hideMark/>
          </w:tcPr>
          <w:p w14:paraId="0BFC254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0.773</w:t>
            </w:r>
          </w:p>
        </w:tc>
        <w:tc>
          <w:tcPr>
            <w:tcW w:w="1701" w:type="dxa"/>
            <w:noWrap/>
            <w:hideMark/>
          </w:tcPr>
          <w:p w14:paraId="632F9EB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0.420</w:t>
            </w:r>
          </w:p>
        </w:tc>
        <w:tc>
          <w:tcPr>
            <w:tcW w:w="1134" w:type="dxa"/>
            <w:noWrap/>
            <w:hideMark/>
          </w:tcPr>
          <w:p w14:paraId="34E89E9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0.344</w:t>
            </w:r>
          </w:p>
        </w:tc>
        <w:tc>
          <w:tcPr>
            <w:tcW w:w="2047" w:type="dxa"/>
            <w:noWrap/>
            <w:hideMark/>
          </w:tcPr>
          <w:p w14:paraId="5B198F2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0.530</w:t>
            </w:r>
          </w:p>
        </w:tc>
        <w:tc>
          <w:tcPr>
            <w:tcW w:w="1283" w:type="dxa"/>
            <w:noWrap/>
            <w:hideMark/>
          </w:tcPr>
          <w:p w14:paraId="7E94B14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0.367</w:t>
            </w:r>
          </w:p>
        </w:tc>
        <w:tc>
          <w:tcPr>
            <w:tcW w:w="1449" w:type="dxa"/>
            <w:noWrap/>
            <w:hideMark/>
          </w:tcPr>
          <w:p w14:paraId="2961541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0.447</w:t>
            </w:r>
          </w:p>
        </w:tc>
        <w:tc>
          <w:tcPr>
            <w:tcW w:w="1888" w:type="dxa"/>
            <w:noWrap/>
            <w:hideMark/>
          </w:tcPr>
          <w:p w14:paraId="15E4073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0.399</w:t>
            </w:r>
          </w:p>
        </w:tc>
      </w:tr>
      <w:tr w:rsidR="008B3CED" w:rsidRPr="008B3CED" w14:paraId="46E32774"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39989E1" w14:textId="77777777" w:rsidR="00B61765" w:rsidRPr="008B3CED" w:rsidRDefault="00B61765" w:rsidP="008B3CED">
            <w:pPr>
              <w:widowControl w:val="0"/>
              <w:spacing w:before="40" w:after="50"/>
              <w:rPr>
                <w:b w:val="0"/>
                <w:bCs w:val="0"/>
                <w:sz w:val="23"/>
                <w:szCs w:val="23"/>
              </w:rPr>
            </w:pPr>
            <w:r w:rsidRPr="008B3CED">
              <w:rPr>
                <w:b w:val="0"/>
                <w:bCs w:val="0"/>
                <w:sz w:val="23"/>
                <w:szCs w:val="23"/>
              </w:rPr>
              <w:t>RAD3</w:t>
            </w:r>
          </w:p>
        </w:tc>
        <w:tc>
          <w:tcPr>
            <w:tcW w:w="1701" w:type="dxa"/>
            <w:noWrap/>
            <w:hideMark/>
          </w:tcPr>
          <w:p w14:paraId="244B516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0.329</w:t>
            </w:r>
          </w:p>
        </w:tc>
        <w:tc>
          <w:tcPr>
            <w:tcW w:w="1417" w:type="dxa"/>
            <w:noWrap/>
            <w:hideMark/>
          </w:tcPr>
          <w:p w14:paraId="787EE65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0.780</w:t>
            </w:r>
          </w:p>
        </w:tc>
        <w:tc>
          <w:tcPr>
            <w:tcW w:w="1701" w:type="dxa"/>
            <w:noWrap/>
            <w:hideMark/>
          </w:tcPr>
          <w:p w14:paraId="3758409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0.349</w:t>
            </w:r>
          </w:p>
        </w:tc>
        <w:tc>
          <w:tcPr>
            <w:tcW w:w="1134" w:type="dxa"/>
            <w:noWrap/>
            <w:hideMark/>
          </w:tcPr>
          <w:p w14:paraId="4FB3EE8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0.376</w:t>
            </w:r>
          </w:p>
        </w:tc>
        <w:tc>
          <w:tcPr>
            <w:tcW w:w="2047" w:type="dxa"/>
            <w:noWrap/>
            <w:hideMark/>
          </w:tcPr>
          <w:p w14:paraId="44D17D1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0.538</w:t>
            </w:r>
          </w:p>
        </w:tc>
        <w:tc>
          <w:tcPr>
            <w:tcW w:w="1283" w:type="dxa"/>
            <w:noWrap/>
            <w:hideMark/>
          </w:tcPr>
          <w:p w14:paraId="33B7C37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0.296</w:t>
            </w:r>
          </w:p>
        </w:tc>
        <w:tc>
          <w:tcPr>
            <w:tcW w:w="1449" w:type="dxa"/>
            <w:noWrap/>
            <w:hideMark/>
          </w:tcPr>
          <w:p w14:paraId="2BD2F20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0.385</w:t>
            </w:r>
          </w:p>
        </w:tc>
        <w:tc>
          <w:tcPr>
            <w:tcW w:w="1888" w:type="dxa"/>
            <w:noWrap/>
            <w:hideMark/>
          </w:tcPr>
          <w:p w14:paraId="569C57D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0.298</w:t>
            </w:r>
          </w:p>
        </w:tc>
      </w:tr>
      <w:tr w:rsidR="008B3CED" w:rsidRPr="008B3CED" w14:paraId="24676523"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36D5E24" w14:textId="77777777" w:rsidR="00B61765" w:rsidRPr="008B3CED" w:rsidRDefault="00B61765" w:rsidP="008B3CED">
            <w:pPr>
              <w:widowControl w:val="0"/>
              <w:spacing w:before="40" w:after="50"/>
              <w:rPr>
                <w:b w:val="0"/>
                <w:bCs w:val="0"/>
                <w:sz w:val="23"/>
                <w:szCs w:val="23"/>
              </w:rPr>
            </w:pPr>
            <w:r w:rsidRPr="008B3CED">
              <w:rPr>
                <w:b w:val="0"/>
                <w:bCs w:val="0"/>
                <w:sz w:val="23"/>
                <w:szCs w:val="23"/>
              </w:rPr>
              <w:lastRenderedPageBreak/>
              <w:t>RAD4</w:t>
            </w:r>
          </w:p>
        </w:tc>
        <w:tc>
          <w:tcPr>
            <w:tcW w:w="1701" w:type="dxa"/>
            <w:noWrap/>
            <w:hideMark/>
          </w:tcPr>
          <w:p w14:paraId="65C14C1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0.195</w:t>
            </w:r>
          </w:p>
        </w:tc>
        <w:tc>
          <w:tcPr>
            <w:tcW w:w="1417" w:type="dxa"/>
            <w:noWrap/>
            <w:hideMark/>
          </w:tcPr>
          <w:p w14:paraId="4391E7D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0.812</w:t>
            </w:r>
          </w:p>
        </w:tc>
        <w:tc>
          <w:tcPr>
            <w:tcW w:w="1701" w:type="dxa"/>
            <w:noWrap/>
            <w:hideMark/>
          </w:tcPr>
          <w:p w14:paraId="4F785E9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0.331</w:t>
            </w:r>
          </w:p>
        </w:tc>
        <w:tc>
          <w:tcPr>
            <w:tcW w:w="1134" w:type="dxa"/>
            <w:noWrap/>
            <w:hideMark/>
          </w:tcPr>
          <w:p w14:paraId="57D1191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0.204</w:t>
            </w:r>
          </w:p>
        </w:tc>
        <w:tc>
          <w:tcPr>
            <w:tcW w:w="2047" w:type="dxa"/>
            <w:noWrap/>
            <w:hideMark/>
          </w:tcPr>
          <w:p w14:paraId="0BBBC86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0.379</w:t>
            </w:r>
          </w:p>
        </w:tc>
        <w:tc>
          <w:tcPr>
            <w:tcW w:w="1283" w:type="dxa"/>
            <w:noWrap/>
            <w:hideMark/>
          </w:tcPr>
          <w:p w14:paraId="3E04748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0.205</w:t>
            </w:r>
          </w:p>
        </w:tc>
        <w:tc>
          <w:tcPr>
            <w:tcW w:w="1449" w:type="dxa"/>
            <w:noWrap/>
            <w:hideMark/>
          </w:tcPr>
          <w:p w14:paraId="4BF7601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0.227</w:t>
            </w:r>
          </w:p>
        </w:tc>
        <w:tc>
          <w:tcPr>
            <w:tcW w:w="1888" w:type="dxa"/>
            <w:noWrap/>
            <w:hideMark/>
          </w:tcPr>
          <w:p w14:paraId="6C2D642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0.208</w:t>
            </w:r>
          </w:p>
        </w:tc>
      </w:tr>
      <w:tr w:rsidR="008B3CED" w:rsidRPr="008B3CED" w14:paraId="448E2F79"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D9FC210" w14:textId="77777777" w:rsidR="00B61765" w:rsidRPr="008B3CED" w:rsidRDefault="00B61765" w:rsidP="008B3CED">
            <w:pPr>
              <w:widowControl w:val="0"/>
              <w:spacing w:before="40" w:after="50"/>
              <w:rPr>
                <w:b w:val="0"/>
                <w:bCs w:val="0"/>
                <w:sz w:val="23"/>
                <w:szCs w:val="23"/>
              </w:rPr>
            </w:pPr>
            <w:r w:rsidRPr="008B3CED">
              <w:rPr>
                <w:b w:val="0"/>
                <w:bCs w:val="0"/>
                <w:sz w:val="23"/>
                <w:szCs w:val="23"/>
              </w:rPr>
              <w:t>COO1</w:t>
            </w:r>
          </w:p>
        </w:tc>
        <w:tc>
          <w:tcPr>
            <w:tcW w:w="1701" w:type="dxa"/>
            <w:noWrap/>
            <w:hideMark/>
          </w:tcPr>
          <w:p w14:paraId="64E4AB3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0.320</w:t>
            </w:r>
          </w:p>
        </w:tc>
        <w:tc>
          <w:tcPr>
            <w:tcW w:w="1417" w:type="dxa"/>
            <w:noWrap/>
            <w:hideMark/>
          </w:tcPr>
          <w:p w14:paraId="3388464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0.453</w:t>
            </w:r>
          </w:p>
        </w:tc>
        <w:tc>
          <w:tcPr>
            <w:tcW w:w="1701" w:type="dxa"/>
            <w:noWrap/>
            <w:hideMark/>
          </w:tcPr>
          <w:p w14:paraId="0DFDC71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0.867</w:t>
            </w:r>
          </w:p>
        </w:tc>
        <w:tc>
          <w:tcPr>
            <w:tcW w:w="1134" w:type="dxa"/>
            <w:noWrap/>
            <w:hideMark/>
          </w:tcPr>
          <w:p w14:paraId="5BCBDCB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0.299</w:t>
            </w:r>
          </w:p>
        </w:tc>
        <w:tc>
          <w:tcPr>
            <w:tcW w:w="2047" w:type="dxa"/>
            <w:noWrap/>
            <w:hideMark/>
          </w:tcPr>
          <w:p w14:paraId="36DFB2D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0.360</w:t>
            </w:r>
          </w:p>
        </w:tc>
        <w:tc>
          <w:tcPr>
            <w:tcW w:w="1283" w:type="dxa"/>
            <w:noWrap/>
            <w:hideMark/>
          </w:tcPr>
          <w:p w14:paraId="3EDC07A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0.103</w:t>
            </w:r>
          </w:p>
        </w:tc>
        <w:tc>
          <w:tcPr>
            <w:tcW w:w="1449" w:type="dxa"/>
            <w:noWrap/>
            <w:hideMark/>
          </w:tcPr>
          <w:p w14:paraId="1A1EFBB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0.372</w:t>
            </w:r>
          </w:p>
        </w:tc>
        <w:tc>
          <w:tcPr>
            <w:tcW w:w="1888" w:type="dxa"/>
            <w:noWrap/>
            <w:hideMark/>
          </w:tcPr>
          <w:p w14:paraId="31AC92F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0.388</w:t>
            </w:r>
          </w:p>
        </w:tc>
      </w:tr>
      <w:tr w:rsidR="008B3CED" w:rsidRPr="008B3CED" w14:paraId="41EE9BB4"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DBFFB78" w14:textId="77777777" w:rsidR="00B61765" w:rsidRPr="008B3CED" w:rsidRDefault="00B61765" w:rsidP="008B3CED">
            <w:pPr>
              <w:widowControl w:val="0"/>
              <w:spacing w:before="40" w:after="50"/>
              <w:rPr>
                <w:b w:val="0"/>
                <w:bCs w:val="0"/>
                <w:sz w:val="23"/>
                <w:szCs w:val="23"/>
              </w:rPr>
            </w:pPr>
            <w:r w:rsidRPr="008B3CED">
              <w:rPr>
                <w:b w:val="0"/>
                <w:bCs w:val="0"/>
                <w:sz w:val="23"/>
                <w:szCs w:val="23"/>
              </w:rPr>
              <w:t>COO2</w:t>
            </w:r>
          </w:p>
        </w:tc>
        <w:tc>
          <w:tcPr>
            <w:tcW w:w="1701" w:type="dxa"/>
            <w:noWrap/>
            <w:hideMark/>
          </w:tcPr>
          <w:p w14:paraId="691EDB2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0.330</w:t>
            </w:r>
          </w:p>
        </w:tc>
        <w:tc>
          <w:tcPr>
            <w:tcW w:w="1417" w:type="dxa"/>
            <w:noWrap/>
            <w:hideMark/>
          </w:tcPr>
          <w:p w14:paraId="5FCA0F4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0.477</w:t>
            </w:r>
          </w:p>
        </w:tc>
        <w:tc>
          <w:tcPr>
            <w:tcW w:w="1701" w:type="dxa"/>
            <w:noWrap/>
            <w:hideMark/>
          </w:tcPr>
          <w:p w14:paraId="65B8114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0.891</w:t>
            </w:r>
          </w:p>
        </w:tc>
        <w:tc>
          <w:tcPr>
            <w:tcW w:w="1134" w:type="dxa"/>
            <w:noWrap/>
            <w:hideMark/>
          </w:tcPr>
          <w:p w14:paraId="617B6A0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0.125</w:t>
            </w:r>
          </w:p>
        </w:tc>
        <w:tc>
          <w:tcPr>
            <w:tcW w:w="2047" w:type="dxa"/>
            <w:noWrap/>
            <w:hideMark/>
          </w:tcPr>
          <w:p w14:paraId="56A00A0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0.328</w:t>
            </w:r>
          </w:p>
        </w:tc>
        <w:tc>
          <w:tcPr>
            <w:tcW w:w="1283" w:type="dxa"/>
            <w:noWrap/>
            <w:hideMark/>
          </w:tcPr>
          <w:p w14:paraId="54AC925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0.082</w:t>
            </w:r>
          </w:p>
        </w:tc>
        <w:tc>
          <w:tcPr>
            <w:tcW w:w="1449" w:type="dxa"/>
            <w:noWrap/>
            <w:hideMark/>
          </w:tcPr>
          <w:p w14:paraId="7B7611F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0.258</w:t>
            </w:r>
          </w:p>
        </w:tc>
        <w:tc>
          <w:tcPr>
            <w:tcW w:w="1888" w:type="dxa"/>
            <w:noWrap/>
            <w:hideMark/>
          </w:tcPr>
          <w:p w14:paraId="7B9C9AE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0.213</w:t>
            </w:r>
          </w:p>
        </w:tc>
      </w:tr>
      <w:tr w:rsidR="008B3CED" w:rsidRPr="008B3CED" w14:paraId="7029820D"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9D82CDE" w14:textId="77777777" w:rsidR="00B61765" w:rsidRPr="008B3CED" w:rsidRDefault="00B61765" w:rsidP="008B3CED">
            <w:pPr>
              <w:widowControl w:val="0"/>
              <w:spacing w:before="40" w:after="50"/>
              <w:rPr>
                <w:b w:val="0"/>
                <w:bCs w:val="0"/>
                <w:sz w:val="23"/>
                <w:szCs w:val="23"/>
              </w:rPr>
            </w:pPr>
            <w:r w:rsidRPr="008B3CED">
              <w:rPr>
                <w:b w:val="0"/>
                <w:bCs w:val="0"/>
                <w:sz w:val="23"/>
                <w:szCs w:val="23"/>
              </w:rPr>
              <w:t>COO3</w:t>
            </w:r>
          </w:p>
        </w:tc>
        <w:tc>
          <w:tcPr>
            <w:tcW w:w="1701" w:type="dxa"/>
            <w:noWrap/>
            <w:hideMark/>
          </w:tcPr>
          <w:p w14:paraId="753E30B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0.266</w:t>
            </w:r>
          </w:p>
        </w:tc>
        <w:tc>
          <w:tcPr>
            <w:tcW w:w="1417" w:type="dxa"/>
            <w:noWrap/>
            <w:hideMark/>
          </w:tcPr>
          <w:p w14:paraId="6DE0B8A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0.308</w:t>
            </w:r>
          </w:p>
        </w:tc>
        <w:tc>
          <w:tcPr>
            <w:tcW w:w="1701" w:type="dxa"/>
            <w:noWrap/>
            <w:hideMark/>
          </w:tcPr>
          <w:p w14:paraId="61197B9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0.818</w:t>
            </w:r>
          </w:p>
        </w:tc>
        <w:tc>
          <w:tcPr>
            <w:tcW w:w="1134" w:type="dxa"/>
            <w:noWrap/>
            <w:hideMark/>
          </w:tcPr>
          <w:p w14:paraId="29A8543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0.087</w:t>
            </w:r>
          </w:p>
        </w:tc>
        <w:tc>
          <w:tcPr>
            <w:tcW w:w="2047" w:type="dxa"/>
            <w:noWrap/>
            <w:hideMark/>
          </w:tcPr>
          <w:p w14:paraId="39B3601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0.270</w:t>
            </w:r>
          </w:p>
        </w:tc>
        <w:tc>
          <w:tcPr>
            <w:tcW w:w="1283" w:type="dxa"/>
            <w:noWrap/>
            <w:hideMark/>
          </w:tcPr>
          <w:p w14:paraId="317AA00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-0.113</w:t>
            </w:r>
          </w:p>
        </w:tc>
        <w:tc>
          <w:tcPr>
            <w:tcW w:w="1449" w:type="dxa"/>
            <w:noWrap/>
            <w:hideMark/>
          </w:tcPr>
          <w:p w14:paraId="485A43E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0.116</w:t>
            </w:r>
          </w:p>
        </w:tc>
        <w:tc>
          <w:tcPr>
            <w:tcW w:w="1888" w:type="dxa"/>
            <w:noWrap/>
            <w:hideMark/>
          </w:tcPr>
          <w:p w14:paraId="49EBA51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0.157</w:t>
            </w:r>
          </w:p>
        </w:tc>
      </w:tr>
      <w:tr w:rsidR="008B3CED" w:rsidRPr="008B3CED" w14:paraId="7546F385"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36F21FD" w14:textId="77777777" w:rsidR="00B61765" w:rsidRPr="008B3CED" w:rsidRDefault="00B61765" w:rsidP="008B3CED">
            <w:pPr>
              <w:widowControl w:val="0"/>
              <w:spacing w:before="40" w:after="50"/>
              <w:rPr>
                <w:b w:val="0"/>
                <w:bCs w:val="0"/>
                <w:sz w:val="23"/>
                <w:szCs w:val="23"/>
              </w:rPr>
            </w:pPr>
            <w:r w:rsidRPr="008B3CED">
              <w:rPr>
                <w:b w:val="0"/>
                <w:bCs w:val="0"/>
                <w:sz w:val="23"/>
                <w:szCs w:val="23"/>
              </w:rPr>
              <w:t>TAL1</w:t>
            </w:r>
          </w:p>
        </w:tc>
        <w:tc>
          <w:tcPr>
            <w:tcW w:w="1701" w:type="dxa"/>
            <w:noWrap/>
            <w:hideMark/>
          </w:tcPr>
          <w:p w14:paraId="5977A4B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0.385</w:t>
            </w:r>
          </w:p>
        </w:tc>
        <w:tc>
          <w:tcPr>
            <w:tcW w:w="1417" w:type="dxa"/>
            <w:noWrap/>
            <w:hideMark/>
          </w:tcPr>
          <w:p w14:paraId="5DF747C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0.245</w:t>
            </w:r>
          </w:p>
        </w:tc>
        <w:tc>
          <w:tcPr>
            <w:tcW w:w="1701" w:type="dxa"/>
            <w:noWrap/>
            <w:hideMark/>
          </w:tcPr>
          <w:p w14:paraId="7289F08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0.071</w:t>
            </w:r>
          </w:p>
        </w:tc>
        <w:tc>
          <w:tcPr>
            <w:tcW w:w="1134" w:type="dxa"/>
            <w:noWrap/>
            <w:hideMark/>
          </w:tcPr>
          <w:p w14:paraId="30DCD38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0.771</w:t>
            </w:r>
          </w:p>
        </w:tc>
        <w:tc>
          <w:tcPr>
            <w:tcW w:w="2047" w:type="dxa"/>
            <w:noWrap/>
            <w:hideMark/>
          </w:tcPr>
          <w:p w14:paraId="22AB479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0.463</w:t>
            </w:r>
          </w:p>
        </w:tc>
        <w:tc>
          <w:tcPr>
            <w:tcW w:w="1283" w:type="dxa"/>
            <w:noWrap/>
            <w:hideMark/>
          </w:tcPr>
          <w:p w14:paraId="1FE6677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0.354</w:t>
            </w:r>
          </w:p>
        </w:tc>
        <w:tc>
          <w:tcPr>
            <w:tcW w:w="1449" w:type="dxa"/>
            <w:noWrap/>
            <w:hideMark/>
          </w:tcPr>
          <w:p w14:paraId="651CF50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0.480</w:t>
            </w:r>
          </w:p>
        </w:tc>
        <w:tc>
          <w:tcPr>
            <w:tcW w:w="1888" w:type="dxa"/>
            <w:noWrap/>
            <w:hideMark/>
          </w:tcPr>
          <w:p w14:paraId="22F03C5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0.223</w:t>
            </w:r>
          </w:p>
        </w:tc>
      </w:tr>
      <w:tr w:rsidR="008B3CED" w:rsidRPr="008B3CED" w14:paraId="51F146C9"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DF93E70" w14:textId="77777777" w:rsidR="00B61765" w:rsidRPr="008B3CED" w:rsidRDefault="00B61765" w:rsidP="008B3CED">
            <w:pPr>
              <w:widowControl w:val="0"/>
              <w:spacing w:before="40" w:after="50"/>
              <w:rPr>
                <w:b w:val="0"/>
                <w:bCs w:val="0"/>
                <w:sz w:val="23"/>
                <w:szCs w:val="23"/>
              </w:rPr>
            </w:pPr>
            <w:r w:rsidRPr="008B3CED">
              <w:rPr>
                <w:b w:val="0"/>
                <w:bCs w:val="0"/>
                <w:sz w:val="23"/>
                <w:szCs w:val="23"/>
              </w:rPr>
              <w:t>TAL2</w:t>
            </w:r>
          </w:p>
        </w:tc>
        <w:tc>
          <w:tcPr>
            <w:tcW w:w="1701" w:type="dxa"/>
            <w:noWrap/>
            <w:hideMark/>
          </w:tcPr>
          <w:p w14:paraId="1DDD11C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0.337</w:t>
            </w:r>
          </w:p>
        </w:tc>
        <w:tc>
          <w:tcPr>
            <w:tcW w:w="1417" w:type="dxa"/>
            <w:noWrap/>
            <w:hideMark/>
          </w:tcPr>
          <w:p w14:paraId="44FEBC0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0.306</w:t>
            </w:r>
          </w:p>
        </w:tc>
        <w:tc>
          <w:tcPr>
            <w:tcW w:w="1701" w:type="dxa"/>
            <w:noWrap/>
            <w:hideMark/>
          </w:tcPr>
          <w:p w14:paraId="7B804B1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0.228</w:t>
            </w:r>
          </w:p>
        </w:tc>
        <w:tc>
          <w:tcPr>
            <w:tcW w:w="1134" w:type="dxa"/>
            <w:noWrap/>
            <w:hideMark/>
          </w:tcPr>
          <w:p w14:paraId="03CE409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0.763</w:t>
            </w:r>
          </w:p>
        </w:tc>
        <w:tc>
          <w:tcPr>
            <w:tcW w:w="2047" w:type="dxa"/>
            <w:noWrap/>
            <w:hideMark/>
          </w:tcPr>
          <w:p w14:paraId="1A90F5B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0.411</w:t>
            </w:r>
          </w:p>
        </w:tc>
        <w:tc>
          <w:tcPr>
            <w:tcW w:w="1283" w:type="dxa"/>
            <w:noWrap/>
            <w:hideMark/>
          </w:tcPr>
          <w:p w14:paraId="46302A6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0.387</w:t>
            </w:r>
          </w:p>
        </w:tc>
        <w:tc>
          <w:tcPr>
            <w:tcW w:w="1449" w:type="dxa"/>
            <w:noWrap/>
            <w:hideMark/>
          </w:tcPr>
          <w:p w14:paraId="40D87E7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0.408</w:t>
            </w:r>
          </w:p>
        </w:tc>
        <w:tc>
          <w:tcPr>
            <w:tcW w:w="1888" w:type="dxa"/>
            <w:noWrap/>
            <w:hideMark/>
          </w:tcPr>
          <w:p w14:paraId="4C78D0D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0.369</w:t>
            </w:r>
          </w:p>
        </w:tc>
      </w:tr>
      <w:tr w:rsidR="008B3CED" w:rsidRPr="008B3CED" w14:paraId="690352C1"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0357612" w14:textId="77777777" w:rsidR="00B61765" w:rsidRPr="008B3CED" w:rsidRDefault="00B61765" w:rsidP="008B3CED">
            <w:pPr>
              <w:widowControl w:val="0"/>
              <w:spacing w:before="40" w:after="50"/>
              <w:rPr>
                <w:b w:val="0"/>
                <w:bCs w:val="0"/>
                <w:sz w:val="23"/>
                <w:szCs w:val="23"/>
              </w:rPr>
            </w:pPr>
            <w:r w:rsidRPr="008B3CED">
              <w:rPr>
                <w:b w:val="0"/>
                <w:bCs w:val="0"/>
                <w:sz w:val="23"/>
                <w:szCs w:val="23"/>
              </w:rPr>
              <w:t>TAL3</w:t>
            </w:r>
          </w:p>
        </w:tc>
        <w:tc>
          <w:tcPr>
            <w:tcW w:w="1701" w:type="dxa"/>
            <w:noWrap/>
            <w:hideMark/>
          </w:tcPr>
          <w:p w14:paraId="0DFF5D5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0.462</w:t>
            </w:r>
          </w:p>
        </w:tc>
        <w:tc>
          <w:tcPr>
            <w:tcW w:w="1417" w:type="dxa"/>
            <w:noWrap/>
            <w:hideMark/>
          </w:tcPr>
          <w:p w14:paraId="18ACB36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0.353</w:t>
            </w:r>
          </w:p>
        </w:tc>
        <w:tc>
          <w:tcPr>
            <w:tcW w:w="1701" w:type="dxa"/>
            <w:noWrap/>
            <w:hideMark/>
          </w:tcPr>
          <w:p w14:paraId="346BB70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0.145</w:t>
            </w:r>
          </w:p>
        </w:tc>
        <w:tc>
          <w:tcPr>
            <w:tcW w:w="1134" w:type="dxa"/>
            <w:noWrap/>
            <w:hideMark/>
          </w:tcPr>
          <w:p w14:paraId="235A943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0.682</w:t>
            </w:r>
          </w:p>
        </w:tc>
        <w:tc>
          <w:tcPr>
            <w:tcW w:w="2047" w:type="dxa"/>
            <w:noWrap/>
            <w:hideMark/>
          </w:tcPr>
          <w:p w14:paraId="64F4CCA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0.671</w:t>
            </w:r>
          </w:p>
        </w:tc>
        <w:tc>
          <w:tcPr>
            <w:tcW w:w="1283" w:type="dxa"/>
            <w:noWrap/>
            <w:hideMark/>
          </w:tcPr>
          <w:p w14:paraId="1E5D331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0.358</w:t>
            </w:r>
          </w:p>
        </w:tc>
        <w:tc>
          <w:tcPr>
            <w:tcW w:w="1449" w:type="dxa"/>
            <w:noWrap/>
            <w:hideMark/>
          </w:tcPr>
          <w:p w14:paraId="787DA0D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0.578</w:t>
            </w:r>
          </w:p>
        </w:tc>
        <w:tc>
          <w:tcPr>
            <w:tcW w:w="1888" w:type="dxa"/>
            <w:noWrap/>
            <w:hideMark/>
          </w:tcPr>
          <w:p w14:paraId="06904DB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0.368</w:t>
            </w:r>
          </w:p>
        </w:tc>
      </w:tr>
      <w:tr w:rsidR="008B3CED" w:rsidRPr="008B3CED" w14:paraId="2CAC2C0C"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F8AA30F" w14:textId="77777777" w:rsidR="00B61765" w:rsidRPr="008B3CED" w:rsidRDefault="00B61765" w:rsidP="008B3CED">
            <w:pPr>
              <w:widowControl w:val="0"/>
              <w:spacing w:before="40" w:after="50"/>
              <w:rPr>
                <w:b w:val="0"/>
                <w:bCs w:val="0"/>
                <w:sz w:val="23"/>
                <w:szCs w:val="23"/>
              </w:rPr>
            </w:pPr>
            <w:r w:rsidRPr="008B3CED">
              <w:rPr>
                <w:b w:val="0"/>
                <w:bCs w:val="0"/>
                <w:sz w:val="23"/>
                <w:szCs w:val="23"/>
              </w:rPr>
              <w:t>TMT1</w:t>
            </w:r>
          </w:p>
        </w:tc>
        <w:tc>
          <w:tcPr>
            <w:tcW w:w="1701" w:type="dxa"/>
            <w:noWrap/>
            <w:hideMark/>
          </w:tcPr>
          <w:p w14:paraId="449E545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0.463</w:t>
            </w:r>
          </w:p>
        </w:tc>
        <w:tc>
          <w:tcPr>
            <w:tcW w:w="1417" w:type="dxa"/>
            <w:noWrap/>
            <w:hideMark/>
          </w:tcPr>
          <w:p w14:paraId="0916319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0.506</w:t>
            </w:r>
          </w:p>
        </w:tc>
        <w:tc>
          <w:tcPr>
            <w:tcW w:w="1701" w:type="dxa"/>
            <w:noWrap/>
            <w:hideMark/>
          </w:tcPr>
          <w:p w14:paraId="33788F1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0.362</w:t>
            </w:r>
          </w:p>
        </w:tc>
        <w:tc>
          <w:tcPr>
            <w:tcW w:w="1134" w:type="dxa"/>
            <w:noWrap/>
            <w:hideMark/>
          </w:tcPr>
          <w:p w14:paraId="331587F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0.557</w:t>
            </w:r>
          </w:p>
        </w:tc>
        <w:tc>
          <w:tcPr>
            <w:tcW w:w="2047" w:type="dxa"/>
            <w:noWrap/>
            <w:hideMark/>
          </w:tcPr>
          <w:p w14:paraId="5C0F0F0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0.867</w:t>
            </w:r>
          </w:p>
        </w:tc>
        <w:tc>
          <w:tcPr>
            <w:tcW w:w="1283" w:type="dxa"/>
            <w:noWrap/>
            <w:hideMark/>
          </w:tcPr>
          <w:p w14:paraId="48C0BE7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0.450</w:t>
            </w:r>
          </w:p>
        </w:tc>
        <w:tc>
          <w:tcPr>
            <w:tcW w:w="1449" w:type="dxa"/>
            <w:noWrap/>
            <w:hideMark/>
          </w:tcPr>
          <w:p w14:paraId="255787D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0.549</w:t>
            </w:r>
          </w:p>
        </w:tc>
        <w:tc>
          <w:tcPr>
            <w:tcW w:w="1888" w:type="dxa"/>
            <w:noWrap/>
            <w:hideMark/>
          </w:tcPr>
          <w:p w14:paraId="2A02135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0.394</w:t>
            </w:r>
          </w:p>
        </w:tc>
      </w:tr>
      <w:tr w:rsidR="008B3CED" w:rsidRPr="008B3CED" w14:paraId="2F5A6A7C"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4229A7B" w14:textId="77777777" w:rsidR="00B61765" w:rsidRPr="008B3CED" w:rsidRDefault="00B61765" w:rsidP="008B3CED">
            <w:pPr>
              <w:widowControl w:val="0"/>
              <w:spacing w:before="40" w:after="50"/>
              <w:rPr>
                <w:b w:val="0"/>
                <w:bCs w:val="0"/>
                <w:sz w:val="23"/>
                <w:szCs w:val="23"/>
              </w:rPr>
            </w:pPr>
            <w:r w:rsidRPr="008B3CED">
              <w:rPr>
                <w:b w:val="0"/>
                <w:bCs w:val="0"/>
                <w:sz w:val="23"/>
                <w:szCs w:val="23"/>
              </w:rPr>
              <w:t>TMT2</w:t>
            </w:r>
          </w:p>
        </w:tc>
        <w:tc>
          <w:tcPr>
            <w:tcW w:w="1701" w:type="dxa"/>
            <w:noWrap/>
            <w:hideMark/>
          </w:tcPr>
          <w:p w14:paraId="1E8D3D8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0.507</w:t>
            </w:r>
          </w:p>
        </w:tc>
        <w:tc>
          <w:tcPr>
            <w:tcW w:w="1417" w:type="dxa"/>
            <w:noWrap/>
            <w:hideMark/>
          </w:tcPr>
          <w:p w14:paraId="2B7DF32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0.418</w:t>
            </w:r>
          </w:p>
        </w:tc>
        <w:tc>
          <w:tcPr>
            <w:tcW w:w="1701" w:type="dxa"/>
            <w:noWrap/>
            <w:hideMark/>
          </w:tcPr>
          <w:p w14:paraId="19E6F9B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0.250</w:t>
            </w:r>
          </w:p>
        </w:tc>
        <w:tc>
          <w:tcPr>
            <w:tcW w:w="1134" w:type="dxa"/>
            <w:noWrap/>
            <w:hideMark/>
          </w:tcPr>
          <w:p w14:paraId="4D06985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0.666</w:t>
            </w:r>
          </w:p>
        </w:tc>
        <w:tc>
          <w:tcPr>
            <w:tcW w:w="2047" w:type="dxa"/>
            <w:noWrap/>
            <w:hideMark/>
          </w:tcPr>
          <w:p w14:paraId="110EA6D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0.795</w:t>
            </w:r>
          </w:p>
        </w:tc>
        <w:tc>
          <w:tcPr>
            <w:tcW w:w="1283" w:type="dxa"/>
            <w:noWrap/>
            <w:hideMark/>
          </w:tcPr>
          <w:p w14:paraId="7A23FF5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0.581</w:t>
            </w:r>
          </w:p>
        </w:tc>
        <w:tc>
          <w:tcPr>
            <w:tcW w:w="1449" w:type="dxa"/>
            <w:noWrap/>
            <w:hideMark/>
          </w:tcPr>
          <w:p w14:paraId="5206A58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0.679</w:t>
            </w:r>
          </w:p>
        </w:tc>
        <w:tc>
          <w:tcPr>
            <w:tcW w:w="1888" w:type="dxa"/>
            <w:noWrap/>
            <w:hideMark/>
          </w:tcPr>
          <w:p w14:paraId="6408596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0.424</w:t>
            </w:r>
          </w:p>
        </w:tc>
      </w:tr>
      <w:tr w:rsidR="008B3CED" w:rsidRPr="008B3CED" w14:paraId="293E7209"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AB3D503" w14:textId="77777777" w:rsidR="00B61765" w:rsidRPr="008B3CED" w:rsidRDefault="00B61765" w:rsidP="008B3CED">
            <w:pPr>
              <w:widowControl w:val="0"/>
              <w:spacing w:before="40" w:after="50"/>
              <w:rPr>
                <w:b w:val="0"/>
                <w:bCs w:val="0"/>
                <w:sz w:val="23"/>
                <w:szCs w:val="23"/>
              </w:rPr>
            </w:pPr>
            <w:r w:rsidRPr="008B3CED">
              <w:rPr>
                <w:b w:val="0"/>
                <w:bCs w:val="0"/>
                <w:sz w:val="23"/>
                <w:szCs w:val="23"/>
              </w:rPr>
              <w:t>TMT3</w:t>
            </w:r>
          </w:p>
        </w:tc>
        <w:tc>
          <w:tcPr>
            <w:tcW w:w="1701" w:type="dxa"/>
            <w:noWrap/>
            <w:hideMark/>
          </w:tcPr>
          <w:p w14:paraId="1FFFB64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0.416</w:t>
            </w:r>
          </w:p>
        </w:tc>
        <w:tc>
          <w:tcPr>
            <w:tcW w:w="1417" w:type="dxa"/>
            <w:noWrap/>
            <w:hideMark/>
          </w:tcPr>
          <w:p w14:paraId="2FFF66C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0.534</w:t>
            </w:r>
          </w:p>
        </w:tc>
        <w:tc>
          <w:tcPr>
            <w:tcW w:w="1701" w:type="dxa"/>
            <w:noWrap/>
            <w:hideMark/>
          </w:tcPr>
          <w:p w14:paraId="7416BC9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0.308</w:t>
            </w:r>
          </w:p>
        </w:tc>
        <w:tc>
          <w:tcPr>
            <w:tcW w:w="1134" w:type="dxa"/>
            <w:noWrap/>
            <w:hideMark/>
          </w:tcPr>
          <w:p w14:paraId="274E57C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0.485</w:t>
            </w:r>
          </w:p>
        </w:tc>
        <w:tc>
          <w:tcPr>
            <w:tcW w:w="2047" w:type="dxa"/>
            <w:noWrap/>
            <w:hideMark/>
          </w:tcPr>
          <w:p w14:paraId="0389720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0.815</w:t>
            </w:r>
          </w:p>
        </w:tc>
        <w:tc>
          <w:tcPr>
            <w:tcW w:w="1283" w:type="dxa"/>
            <w:noWrap/>
            <w:hideMark/>
          </w:tcPr>
          <w:p w14:paraId="4AE8A4D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0.509</w:t>
            </w:r>
          </w:p>
        </w:tc>
        <w:tc>
          <w:tcPr>
            <w:tcW w:w="1449" w:type="dxa"/>
            <w:noWrap/>
            <w:hideMark/>
          </w:tcPr>
          <w:p w14:paraId="5A081F8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0.573</w:t>
            </w:r>
          </w:p>
        </w:tc>
        <w:tc>
          <w:tcPr>
            <w:tcW w:w="1888" w:type="dxa"/>
            <w:noWrap/>
            <w:hideMark/>
          </w:tcPr>
          <w:p w14:paraId="04AE2E9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0.355</w:t>
            </w:r>
          </w:p>
        </w:tc>
      </w:tr>
      <w:tr w:rsidR="008B3CED" w:rsidRPr="008B3CED" w14:paraId="465BAA1B"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BA97D90" w14:textId="77777777" w:rsidR="00B61765" w:rsidRPr="008B3CED" w:rsidRDefault="00B61765" w:rsidP="008B3CED">
            <w:pPr>
              <w:widowControl w:val="0"/>
              <w:spacing w:before="40" w:after="50"/>
              <w:rPr>
                <w:b w:val="0"/>
                <w:bCs w:val="0"/>
                <w:sz w:val="23"/>
                <w:szCs w:val="23"/>
              </w:rPr>
            </w:pPr>
            <w:r w:rsidRPr="008B3CED">
              <w:rPr>
                <w:b w:val="0"/>
                <w:bCs w:val="0"/>
                <w:sz w:val="23"/>
                <w:szCs w:val="23"/>
              </w:rPr>
              <w:t>ERM1</w:t>
            </w:r>
          </w:p>
        </w:tc>
        <w:tc>
          <w:tcPr>
            <w:tcW w:w="1701" w:type="dxa"/>
            <w:noWrap/>
            <w:hideMark/>
          </w:tcPr>
          <w:p w14:paraId="1042E34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0.383</w:t>
            </w:r>
          </w:p>
        </w:tc>
        <w:tc>
          <w:tcPr>
            <w:tcW w:w="1417" w:type="dxa"/>
            <w:noWrap/>
            <w:hideMark/>
          </w:tcPr>
          <w:p w14:paraId="71166FE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0.419</w:t>
            </w:r>
          </w:p>
        </w:tc>
        <w:tc>
          <w:tcPr>
            <w:tcW w:w="1701" w:type="dxa"/>
            <w:noWrap/>
            <w:hideMark/>
          </w:tcPr>
          <w:p w14:paraId="04CF47C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0.107</w:t>
            </w:r>
          </w:p>
        </w:tc>
        <w:tc>
          <w:tcPr>
            <w:tcW w:w="1134" w:type="dxa"/>
            <w:noWrap/>
            <w:hideMark/>
          </w:tcPr>
          <w:p w14:paraId="1F01A84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0.370</w:t>
            </w:r>
          </w:p>
        </w:tc>
        <w:tc>
          <w:tcPr>
            <w:tcW w:w="2047" w:type="dxa"/>
            <w:noWrap/>
            <w:hideMark/>
          </w:tcPr>
          <w:p w14:paraId="1DA1D03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0.686</w:t>
            </w:r>
          </w:p>
        </w:tc>
        <w:tc>
          <w:tcPr>
            <w:tcW w:w="1283" w:type="dxa"/>
            <w:noWrap/>
            <w:hideMark/>
          </w:tcPr>
          <w:p w14:paraId="63BC88D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0.810</w:t>
            </w:r>
          </w:p>
        </w:tc>
        <w:tc>
          <w:tcPr>
            <w:tcW w:w="1449" w:type="dxa"/>
            <w:noWrap/>
            <w:hideMark/>
          </w:tcPr>
          <w:p w14:paraId="52DAA44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0.632</w:t>
            </w:r>
          </w:p>
        </w:tc>
        <w:tc>
          <w:tcPr>
            <w:tcW w:w="1888" w:type="dxa"/>
            <w:noWrap/>
            <w:hideMark/>
          </w:tcPr>
          <w:p w14:paraId="28DD218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0.278</w:t>
            </w:r>
          </w:p>
        </w:tc>
      </w:tr>
      <w:tr w:rsidR="008B3CED" w:rsidRPr="008B3CED" w14:paraId="34C39D07"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599AFE4" w14:textId="77777777" w:rsidR="00B61765" w:rsidRPr="008B3CED" w:rsidRDefault="00B61765" w:rsidP="008B3CED">
            <w:pPr>
              <w:widowControl w:val="0"/>
              <w:spacing w:before="40" w:after="50"/>
              <w:rPr>
                <w:b w:val="0"/>
                <w:bCs w:val="0"/>
                <w:sz w:val="23"/>
                <w:szCs w:val="23"/>
              </w:rPr>
            </w:pPr>
            <w:r w:rsidRPr="008B3CED">
              <w:rPr>
                <w:b w:val="0"/>
                <w:bCs w:val="0"/>
                <w:sz w:val="23"/>
                <w:szCs w:val="23"/>
              </w:rPr>
              <w:t>ERM2</w:t>
            </w:r>
          </w:p>
        </w:tc>
        <w:tc>
          <w:tcPr>
            <w:tcW w:w="1701" w:type="dxa"/>
            <w:noWrap/>
            <w:hideMark/>
          </w:tcPr>
          <w:p w14:paraId="33FD8EC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0.392</w:t>
            </w:r>
          </w:p>
        </w:tc>
        <w:tc>
          <w:tcPr>
            <w:tcW w:w="1417" w:type="dxa"/>
            <w:noWrap/>
            <w:hideMark/>
          </w:tcPr>
          <w:p w14:paraId="215A3C2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0.330</w:t>
            </w:r>
          </w:p>
        </w:tc>
        <w:tc>
          <w:tcPr>
            <w:tcW w:w="1701" w:type="dxa"/>
            <w:noWrap/>
            <w:hideMark/>
          </w:tcPr>
          <w:p w14:paraId="1DC3A82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0.010</w:t>
            </w:r>
          </w:p>
        </w:tc>
        <w:tc>
          <w:tcPr>
            <w:tcW w:w="1134" w:type="dxa"/>
            <w:noWrap/>
            <w:hideMark/>
          </w:tcPr>
          <w:p w14:paraId="761681C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0.479</w:t>
            </w:r>
          </w:p>
        </w:tc>
        <w:tc>
          <w:tcPr>
            <w:tcW w:w="2047" w:type="dxa"/>
            <w:noWrap/>
            <w:hideMark/>
          </w:tcPr>
          <w:p w14:paraId="587ED16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0.532</w:t>
            </w:r>
          </w:p>
        </w:tc>
        <w:tc>
          <w:tcPr>
            <w:tcW w:w="1283" w:type="dxa"/>
            <w:noWrap/>
            <w:hideMark/>
          </w:tcPr>
          <w:p w14:paraId="1433D87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0.861</w:t>
            </w:r>
          </w:p>
        </w:tc>
        <w:tc>
          <w:tcPr>
            <w:tcW w:w="1449" w:type="dxa"/>
            <w:noWrap/>
            <w:hideMark/>
          </w:tcPr>
          <w:p w14:paraId="2403759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0.683</w:t>
            </w:r>
          </w:p>
        </w:tc>
        <w:tc>
          <w:tcPr>
            <w:tcW w:w="1888" w:type="dxa"/>
            <w:noWrap/>
            <w:hideMark/>
          </w:tcPr>
          <w:p w14:paraId="33C2019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0.373</w:t>
            </w:r>
          </w:p>
        </w:tc>
      </w:tr>
      <w:tr w:rsidR="008B3CED" w:rsidRPr="008B3CED" w14:paraId="4B6C3D31"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F6BDE99" w14:textId="77777777" w:rsidR="00B61765" w:rsidRPr="008B3CED" w:rsidRDefault="00B61765" w:rsidP="008B3CED">
            <w:pPr>
              <w:widowControl w:val="0"/>
              <w:spacing w:before="40" w:after="50"/>
              <w:rPr>
                <w:b w:val="0"/>
                <w:bCs w:val="0"/>
                <w:sz w:val="23"/>
                <w:szCs w:val="23"/>
              </w:rPr>
            </w:pPr>
            <w:r w:rsidRPr="008B3CED">
              <w:rPr>
                <w:b w:val="0"/>
                <w:bCs w:val="0"/>
                <w:sz w:val="23"/>
                <w:szCs w:val="23"/>
              </w:rPr>
              <w:t>ERM3</w:t>
            </w:r>
          </w:p>
        </w:tc>
        <w:tc>
          <w:tcPr>
            <w:tcW w:w="1701" w:type="dxa"/>
            <w:noWrap/>
            <w:hideMark/>
          </w:tcPr>
          <w:p w14:paraId="7847713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0.281</w:t>
            </w:r>
          </w:p>
        </w:tc>
        <w:tc>
          <w:tcPr>
            <w:tcW w:w="1417" w:type="dxa"/>
            <w:noWrap/>
            <w:hideMark/>
          </w:tcPr>
          <w:p w14:paraId="67D0334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0.221</w:t>
            </w:r>
          </w:p>
        </w:tc>
        <w:tc>
          <w:tcPr>
            <w:tcW w:w="1701" w:type="dxa"/>
            <w:noWrap/>
            <w:hideMark/>
          </w:tcPr>
          <w:p w14:paraId="394D4B2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-0.007</w:t>
            </w:r>
          </w:p>
        </w:tc>
        <w:tc>
          <w:tcPr>
            <w:tcW w:w="1134" w:type="dxa"/>
            <w:noWrap/>
            <w:hideMark/>
          </w:tcPr>
          <w:p w14:paraId="654998E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0.482</w:t>
            </w:r>
          </w:p>
        </w:tc>
        <w:tc>
          <w:tcPr>
            <w:tcW w:w="2047" w:type="dxa"/>
            <w:noWrap/>
            <w:hideMark/>
          </w:tcPr>
          <w:p w14:paraId="537C699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0.490</w:t>
            </w:r>
          </w:p>
        </w:tc>
        <w:tc>
          <w:tcPr>
            <w:tcW w:w="1283" w:type="dxa"/>
            <w:noWrap/>
            <w:hideMark/>
          </w:tcPr>
          <w:p w14:paraId="66EB366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0.877</w:t>
            </w:r>
          </w:p>
        </w:tc>
        <w:tc>
          <w:tcPr>
            <w:tcW w:w="1449" w:type="dxa"/>
            <w:noWrap/>
            <w:hideMark/>
          </w:tcPr>
          <w:p w14:paraId="6893970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0.558</w:t>
            </w:r>
          </w:p>
        </w:tc>
        <w:tc>
          <w:tcPr>
            <w:tcW w:w="1888" w:type="dxa"/>
            <w:noWrap/>
            <w:hideMark/>
          </w:tcPr>
          <w:p w14:paraId="0116314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0.324</w:t>
            </w:r>
          </w:p>
        </w:tc>
      </w:tr>
      <w:tr w:rsidR="008B3CED" w:rsidRPr="008B3CED" w14:paraId="12BDC258"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2744B95" w14:textId="77777777" w:rsidR="00B61765" w:rsidRPr="008B3CED" w:rsidRDefault="00B61765" w:rsidP="008B3CED">
            <w:pPr>
              <w:widowControl w:val="0"/>
              <w:spacing w:before="40" w:after="50"/>
              <w:rPr>
                <w:b w:val="0"/>
                <w:bCs w:val="0"/>
                <w:sz w:val="23"/>
                <w:szCs w:val="23"/>
              </w:rPr>
            </w:pPr>
            <w:r w:rsidRPr="008B3CED">
              <w:rPr>
                <w:b w:val="0"/>
                <w:bCs w:val="0"/>
                <w:sz w:val="23"/>
                <w:szCs w:val="23"/>
              </w:rPr>
              <w:t>ERM4</w:t>
            </w:r>
          </w:p>
        </w:tc>
        <w:tc>
          <w:tcPr>
            <w:tcW w:w="1701" w:type="dxa"/>
            <w:noWrap/>
            <w:hideMark/>
          </w:tcPr>
          <w:p w14:paraId="12845CB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0.258</w:t>
            </w:r>
          </w:p>
        </w:tc>
        <w:tc>
          <w:tcPr>
            <w:tcW w:w="1417" w:type="dxa"/>
            <w:noWrap/>
            <w:hideMark/>
          </w:tcPr>
          <w:p w14:paraId="7AE573D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0.131</w:t>
            </w:r>
          </w:p>
        </w:tc>
        <w:tc>
          <w:tcPr>
            <w:tcW w:w="1701" w:type="dxa"/>
            <w:noWrap/>
            <w:hideMark/>
          </w:tcPr>
          <w:p w14:paraId="4F99715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0.000</w:t>
            </w:r>
          </w:p>
        </w:tc>
        <w:tc>
          <w:tcPr>
            <w:tcW w:w="1134" w:type="dxa"/>
            <w:noWrap/>
            <w:hideMark/>
          </w:tcPr>
          <w:p w14:paraId="4C9D207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0.328</w:t>
            </w:r>
          </w:p>
        </w:tc>
        <w:tc>
          <w:tcPr>
            <w:tcW w:w="2047" w:type="dxa"/>
            <w:noWrap/>
            <w:hideMark/>
          </w:tcPr>
          <w:p w14:paraId="42F27E1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0.379</w:t>
            </w:r>
          </w:p>
        </w:tc>
        <w:tc>
          <w:tcPr>
            <w:tcW w:w="1283" w:type="dxa"/>
            <w:noWrap/>
            <w:hideMark/>
          </w:tcPr>
          <w:p w14:paraId="6BDC3FE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0.817</w:t>
            </w:r>
          </w:p>
        </w:tc>
        <w:tc>
          <w:tcPr>
            <w:tcW w:w="1449" w:type="dxa"/>
            <w:noWrap/>
            <w:hideMark/>
          </w:tcPr>
          <w:p w14:paraId="7B8C4AF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0.467</w:t>
            </w:r>
          </w:p>
        </w:tc>
        <w:tc>
          <w:tcPr>
            <w:tcW w:w="1888" w:type="dxa"/>
            <w:noWrap/>
            <w:hideMark/>
          </w:tcPr>
          <w:p w14:paraId="5024116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0.266</w:t>
            </w:r>
          </w:p>
        </w:tc>
      </w:tr>
      <w:tr w:rsidR="008B3CED" w:rsidRPr="008B3CED" w14:paraId="7E555D20"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4D5567B" w14:textId="77777777" w:rsidR="00B61765" w:rsidRPr="008B3CED" w:rsidRDefault="00B61765" w:rsidP="008B3CED">
            <w:pPr>
              <w:widowControl w:val="0"/>
              <w:spacing w:before="40" w:after="50"/>
              <w:rPr>
                <w:b w:val="0"/>
                <w:bCs w:val="0"/>
                <w:sz w:val="23"/>
                <w:szCs w:val="23"/>
              </w:rPr>
            </w:pPr>
            <w:r w:rsidRPr="008B3CED">
              <w:rPr>
                <w:b w:val="0"/>
                <w:bCs w:val="0"/>
                <w:sz w:val="23"/>
                <w:szCs w:val="23"/>
              </w:rPr>
              <w:t>EXP1</w:t>
            </w:r>
          </w:p>
        </w:tc>
        <w:tc>
          <w:tcPr>
            <w:tcW w:w="1701" w:type="dxa"/>
            <w:noWrap/>
            <w:hideMark/>
          </w:tcPr>
          <w:p w14:paraId="57635C1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0.534</w:t>
            </w:r>
          </w:p>
        </w:tc>
        <w:tc>
          <w:tcPr>
            <w:tcW w:w="1417" w:type="dxa"/>
            <w:noWrap/>
            <w:hideMark/>
          </w:tcPr>
          <w:p w14:paraId="19D19D8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0.361</w:t>
            </w:r>
          </w:p>
        </w:tc>
        <w:tc>
          <w:tcPr>
            <w:tcW w:w="1701" w:type="dxa"/>
            <w:noWrap/>
            <w:hideMark/>
          </w:tcPr>
          <w:p w14:paraId="1995FBF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0.260</w:t>
            </w:r>
          </w:p>
        </w:tc>
        <w:tc>
          <w:tcPr>
            <w:tcW w:w="1134" w:type="dxa"/>
            <w:noWrap/>
            <w:hideMark/>
          </w:tcPr>
          <w:p w14:paraId="29F0397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0.582</w:t>
            </w:r>
          </w:p>
        </w:tc>
        <w:tc>
          <w:tcPr>
            <w:tcW w:w="2047" w:type="dxa"/>
            <w:noWrap/>
            <w:hideMark/>
          </w:tcPr>
          <w:p w14:paraId="7FD8E13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0.666</w:t>
            </w:r>
          </w:p>
        </w:tc>
        <w:tc>
          <w:tcPr>
            <w:tcW w:w="1283" w:type="dxa"/>
            <w:noWrap/>
            <w:hideMark/>
          </w:tcPr>
          <w:p w14:paraId="3E45FA0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0.518</w:t>
            </w:r>
          </w:p>
        </w:tc>
        <w:tc>
          <w:tcPr>
            <w:tcW w:w="1449" w:type="dxa"/>
            <w:noWrap/>
            <w:hideMark/>
          </w:tcPr>
          <w:p w14:paraId="1D9533E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0.809</w:t>
            </w:r>
          </w:p>
        </w:tc>
        <w:tc>
          <w:tcPr>
            <w:tcW w:w="1888" w:type="dxa"/>
            <w:noWrap/>
            <w:hideMark/>
          </w:tcPr>
          <w:p w14:paraId="7FF53DE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0.523</w:t>
            </w:r>
          </w:p>
        </w:tc>
      </w:tr>
      <w:tr w:rsidR="008B3CED" w:rsidRPr="008B3CED" w14:paraId="505A60A2"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BE27F1A" w14:textId="77777777" w:rsidR="00B61765" w:rsidRPr="008B3CED" w:rsidRDefault="00B61765" w:rsidP="008B3CED">
            <w:pPr>
              <w:widowControl w:val="0"/>
              <w:spacing w:before="40" w:after="50"/>
              <w:rPr>
                <w:b w:val="0"/>
                <w:bCs w:val="0"/>
                <w:sz w:val="23"/>
                <w:szCs w:val="23"/>
              </w:rPr>
            </w:pPr>
            <w:r w:rsidRPr="008B3CED">
              <w:rPr>
                <w:b w:val="0"/>
                <w:bCs w:val="0"/>
                <w:sz w:val="23"/>
                <w:szCs w:val="23"/>
              </w:rPr>
              <w:t>EXP2</w:t>
            </w:r>
          </w:p>
        </w:tc>
        <w:tc>
          <w:tcPr>
            <w:tcW w:w="1701" w:type="dxa"/>
            <w:noWrap/>
            <w:hideMark/>
          </w:tcPr>
          <w:p w14:paraId="2B32C04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0.278</w:t>
            </w:r>
          </w:p>
        </w:tc>
        <w:tc>
          <w:tcPr>
            <w:tcW w:w="1417" w:type="dxa"/>
            <w:noWrap/>
            <w:hideMark/>
          </w:tcPr>
          <w:p w14:paraId="5506D6E8"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0.280</w:t>
            </w:r>
          </w:p>
        </w:tc>
        <w:tc>
          <w:tcPr>
            <w:tcW w:w="1701" w:type="dxa"/>
            <w:noWrap/>
            <w:hideMark/>
          </w:tcPr>
          <w:p w14:paraId="026F52D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0.147</w:t>
            </w:r>
          </w:p>
        </w:tc>
        <w:tc>
          <w:tcPr>
            <w:tcW w:w="1134" w:type="dxa"/>
            <w:noWrap/>
            <w:hideMark/>
          </w:tcPr>
          <w:p w14:paraId="03C972F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0.500</w:t>
            </w:r>
          </w:p>
        </w:tc>
        <w:tc>
          <w:tcPr>
            <w:tcW w:w="2047" w:type="dxa"/>
            <w:noWrap/>
            <w:hideMark/>
          </w:tcPr>
          <w:p w14:paraId="624C79C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0.543</w:t>
            </w:r>
          </w:p>
        </w:tc>
        <w:tc>
          <w:tcPr>
            <w:tcW w:w="1283" w:type="dxa"/>
            <w:noWrap/>
            <w:hideMark/>
          </w:tcPr>
          <w:p w14:paraId="2AE87E0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0.571</w:t>
            </w:r>
          </w:p>
        </w:tc>
        <w:tc>
          <w:tcPr>
            <w:tcW w:w="1449" w:type="dxa"/>
            <w:noWrap/>
            <w:hideMark/>
          </w:tcPr>
          <w:p w14:paraId="3438C78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0.766</w:t>
            </w:r>
          </w:p>
        </w:tc>
        <w:tc>
          <w:tcPr>
            <w:tcW w:w="1888" w:type="dxa"/>
            <w:noWrap/>
            <w:hideMark/>
          </w:tcPr>
          <w:p w14:paraId="014BB48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0.309</w:t>
            </w:r>
          </w:p>
        </w:tc>
      </w:tr>
      <w:tr w:rsidR="008B3CED" w:rsidRPr="008B3CED" w14:paraId="474F17DB"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63A17C5" w14:textId="77777777" w:rsidR="00B61765" w:rsidRPr="008B3CED" w:rsidRDefault="00B61765" w:rsidP="008B3CED">
            <w:pPr>
              <w:widowControl w:val="0"/>
              <w:spacing w:before="40" w:after="50"/>
              <w:rPr>
                <w:b w:val="0"/>
                <w:bCs w:val="0"/>
                <w:sz w:val="23"/>
                <w:szCs w:val="23"/>
              </w:rPr>
            </w:pPr>
            <w:r w:rsidRPr="008B3CED">
              <w:rPr>
                <w:b w:val="0"/>
                <w:bCs w:val="0"/>
                <w:sz w:val="23"/>
                <w:szCs w:val="23"/>
              </w:rPr>
              <w:t>EXP3</w:t>
            </w:r>
          </w:p>
        </w:tc>
        <w:tc>
          <w:tcPr>
            <w:tcW w:w="1701" w:type="dxa"/>
            <w:noWrap/>
            <w:hideMark/>
          </w:tcPr>
          <w:p w14:paraId="6DAEBB9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0.406</w:t>
            </w:r>
          </w:p>
        </w:tc>
        <w:tc>
          <w:tcPr>
            <w:tcW w:w="1417" w:type="dxa"/>
            <w:noWrap/>
            <w:hideMark/>
          </w:tcPr>
          <w:p w14:paraId="635FF76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0.446</w:t>
            </w:r>
          </w:p>
        </w:tc>
        <w:tc>
          <w:tcPr>
            <w:tcW w:w="1701" w:type="dxa"/>
            <w:noWrap/>
            <w:hideMark/>
          </w:tcPr>
          <w:p w14:paraId="73A24EED"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0.279</w:t>
            </w:r>
          </w:p>
        </w:tc>
        <w:tc>
          <w:tcPr>
            <w:tcW w:w="1134" w:type="dxa"/>
            <w:noWrap/>
            <w:hideMark/>
          </w:tcPr>
          <w:p w14:paraId="34BAE29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0.463</w:t>
            </w:r>
          </w:p>
        </w:tc>
        <w:tc>
          <w:tcPr>
            <w:tcW w:w="2047" w:type="dxa"/>
            <w:noWrap/>
            <w:hideMark/>
          </w:tcPr>
          <w:p w14:paraId="00949F7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0.497</w:t>
            </w:r>
          </w:p>
        </w:tc>
        <w:tc>
          <w:tcPr>
            <w:tcW w:w="1283" w:type="dxa"/>
            <w:noWrap/>
            <w:hideMark/>
          </w:tcPr>
          <w:p w14:paraId="60B575E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0.555</w:t>
            </w:r>
          </w:p>
        </w:tc>
        <w:tc>
          <w:tcPr>
            <w:tcW w:w="1449" w:type="dxa"/>
            <w:noWrap/>
            <w:hideMark/>
          </w:tcPr>
          <w:p w14:paraId="2C7A416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0.785</w:t>
            </w:r>
          </w:p>
        </w:tc>
        <w:tc>
          <w:tcPr>
            <w:tcW w:w="1888" w:type="dxa"/>
            <w:noWrap/>
            <w:hideMark/>
          </w:tcPr>
          <w:p w14:paraId="692B906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0.531</w:t>
            </w:r>
          </w:p>
        </w:tc>
      </w:tr>
      <w:tr w:rsidR="008B3CED" w:rsidRPr="008B3CED" w14:paraId="648D5B4C"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05309FF" w14:textId="77777777" w:rsidR="00B61765" w:rsidRPr="008B3CED" w:rsidRDefault="00B61765" w:rsidP="008B3CED">
            <w:pPr>
              <w:widowControl w:val="0"/>
              <w:spacing w:before="40" w:after="50"/>
              <w:rPr>
                <w:b w:val="0"/>
                <w:bCs w:val="0"/>
                <w:sz w:val="23"/>
                <w:szCs w:val="23"/>
              </w:rPr>
            </w:pPr>
            <w:r w:rsidRPr="008B3CED">
              <w:rPr>
                <w:b w:val="0"/>
                <w:bCs w:val="0"/>
                <w:sz w:val="23"/>
                <w:szCs w:val="23"/>
              </w:rPr>
              <w:t>DIS1</w:t>
            </w:r>
          </w:p>
        </w:tc>
        <w:tc>
          <w:tcPr>
            <w:tcW w:w="1701" w:type="dxa"/>
            <w:noWrap/>
            <w:hideMark/>
          </w:tcPr>
          <w:p w14:paraId="4CB3428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0.472</w:t>
            </w:r>
          </w:p>
        </w:tc>
        <w:tc>
          <w:tcPr>
            <w:tcW w:w="1417" w:type="dxa"/>
            <w:noWrap/>
            <w:hideMark/>
          </w:tcPr>
          <w:p w14:paraId="140BBBB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0.220</w:t>
            </w:r>
          </w:p>
        </w:tc>
        <w:tc>
          <w:tcPr>
            <w:tcW w:w="1701" w:type="dxa"/>
            <w:noWrap/>
            <w:hideMark/>
          </w:tcPr>
          <w:p w14:paraId="212D155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0.263</w:t>
            </w:r>
          </w:p>
        </w:tc>
        <w:tc>
          <w:tcPr>
            <w:tcW w:w="1134" w:type="dxa"/>
            <w:noWrap/>
            <w:hideMark/>
          </w:tcPr>
          <w:p w14:paraId="5997F3A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0.447</w:t>
            </w:r>
          </w:p>
        </w:tc>
        <w:tc>
          <w:tcPr>
            <w:tcW w:w="2047" w:type="dxa"/>
            <w:noWrap/>
            <w:hideMark/>
          </w:tcPr>
          <w:p w14:paraId="356C54F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0.371</w:t>
            </w:r>
          </w:p>
        </w:tc>
        <w:tc>
          <w:tcPr>
            <w:tcW w:w="1283" w:type="dxa"/>
            <w:noWrap/>
            <w:hideMark/>
          </w:tcPr>
          <w:p w14:paraId="18038FA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0.347</w:t>
            </w:r>
          </w:p>
        </w:tc>
        <w:tc>
          <w:tcPr>
            <w:tcW w:w="1449" w:type="dxa"/>
            <w:noWrap/>
            <w:hideMark/>
          </w:tcPr>
          <w:p w14:paraId="5BA99A1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0.465</w:t>
            </w:r>
          </w:p>
        </w:tc>
        <w:tc>
          <w:tcPr>
            <w:tcW w:w="1888" w:type="dxa"/>
            <w:noWrap/>
            <w:hideMark/>
          </w:tcPr>
          <w:p w14:paraId="1488F0D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0.686</w:t>
            </w:r>
          </w:p>
        </w:tc>
      </w:tr>
      <w:tr w:rsidR="008B3CED" w:rsidRPr="008B3CED" w14:paraId="716A1CF7"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DF46CF8" w14:textId="77777777" w:rsidR="00B61765" w:rsidRPr="008B3CED" w:rsidRDefault="00B61765" w:rsidP="008B3CED">
            <w:pPr>
              <w:widowControl w:val="0"/>
              <w:spacing w:before="40" w:after="50"/>
              <w:rPr>
                <w:b w:val="0"/>
                <w:bCs w:val="0"/>
                <w:sz w:val="23"/>
                <w:szCs w:val="23"/>
              </w:rPr>
            </w:pPr>
            <w:r w:rsidRPr="008B3CED">
              <w:rPr>
                <w:b w:val="0"/>
                <w:bCs w:val="0"/>
                <w:sz w:val="23"/>
                <w:szCs w:val="23"/>
              </w:rPr>
              <w:t>DIS2</w:t>
            </w:r>
          </w:p>
        </w:tc>
        <w:tc>
          <w:tcPr>
            <w:tcW w:w="1701" w:type="dxa"/>
            <w:noWrap/>
            <w:hideMark/>
          </w:tcPr>
          <w:p w14:paraId="4505315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0.431</w:t>
            </w:r>
          </w:p>
        </w:tc>
        <w:tc>
          <w:tcPr>
            <w:tcW w:w="1417" w:type="dxa"/>
            <w:noWrap/>
            <w:hideMark/>
          </w:tcPr>
          <w:p w14:paraId="7341FEB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0.345</w:t>
            </w:r>
          </w:p>
        </w:tc>
        <w:tc>
          <w:tcPr>
            <w:tcW w:w="1701" w:type="dxa"/>
            <w:noWrap/>
            <w:hideMark/>
          </w:tcPr>
          <w:p w14:paraId="45D589D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0.251</w:t>
            </w:r>
          </w:p>
        </w:tc>
        <w:tc>
          <w:tcPr>
            <w:tcW w:w="1134" w:type="dxa"/>
            <w:noWrap/>
            <w:hideMark/>
          </w:tcPr>
          <w:p w14:paraId="2C161BE1"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0.305</w:t>
            </w:r>
          </w:p>
        </w:tc>
        <w:tc>
          <w:tcPr>
            <w:tcW w:w="2047" w:type="dxa"/>
            <w:noWrap/>
            <w:hideMark/>
          </w:tcPr>
          <w:p w14:paraId="67385C9B"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0.420</w:t>
            </w:r>
          </w:p>
        </w:tc>
        <w:tc>
          <w:tcPr>
            <w:tcW w:w="1283" w:type="dxa"/>
            <w:noWrap/>
            <w:hideMark/>
          </w:tcPr>
          <w:p w14:paraId="7845864A"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0.285</w:t>
            </w:r>
          </w:p>
        </w:tc>
        <w:tc>
          <w:tcPr>
            <w:tcW w:w="1449" w:type="dxa"/>
            <w:noWrap/>
            <w:hideMark/>
          </w:tcPr>
          <w:p w14:paraId="1E3DB8E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0.444</w:t>
            </w:r>
          </w:p>
        </w:tc>
        <w:tc>
          <w:tcPr>
            <w:tcW w:w="1888" w:type="dxa"/>
            <w:noWrap/>
            <w:hideMark/>
          </w:tcPr>
          <w:p w14:paraId="40EA23B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0.858</w:t>
            </w:r>
          </w:p>
        </w:tc>
      </w:tr>
      <w:tr w:rsidR="008B3CED" w:rsidRPr="008B3CED" w14:paraId="0338ABD9"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EE633FB" w14:textId="77777777" w:rsidR="00B61765" w:rsidRPr="008B3CED" w:rsidRDefault="00B61765" w:rsidP="008B3CED">
            <w:pPr>
              <w:widowControl w:val="0"/>
              <w:spacing w:before="40" w:after="50"/>
              <w:rPr>
                <w:b w:val="0"/>
                <w:bCs w:val="0"/>
                <w:sz w:val="23"/>
                <w:szCs w:val="23"/>
              </w:rPr>
            </w:pPr>
            <w:r w:rsidRPr="008B3CED">
              <w:rPr>
                <w:b w:val="0"/>
                <w:bCs w:val="0"/>
                <w:sz w:val="23"/>
                <w:szCs w:val="23"/>
              </w:rPr>
              <w:t>DIS3</w:t>
            </w:r>
          </w:p>
        </w:tc>
        <w:tc>
          <w:tcPr>
            <w:tcW w:w="1701" w:type="dxa"/>
            <w:noWrap/>
            <w:hideMark/>
          </w:tcPr>
          <w:p w14:paraId="3064EE9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0.461</w:t>
            </w:r>
          </w:p>
        </w:tc>
        <w:tc>
          <w:tcPr>
            <w:tcW w:w="1417" w:type="dxa"/>
            <w:noWrap/>
            <w:hideMark/>
          </w:tcPr>
          <w:p w14:paraId="2B21D87F"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0.332</w:t>
            </w:r>
          </w:p>
        </w:tc>
        <w:tc>
          <w:tcPr>
            <w:tcW w:w="1701" w:type="dxa"/>
            <w:noWrap/>
            <w:hideMark/>
          </w:tcPr>
          <w:p w14:paraId="4C7B381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0.219</w:t>
            </w:r>
          </w:p>
        </w:tc>
        <w:tc>
          <w:tcPr>
            <w:tcW w:w="1134" w:type="dxa"/>
            <w:noWrap/>
            <w:hideMark/>
          </w:tcPr>
          <w:p w14:paraId="2E2457F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0.361</w:t>
            </w:r>
          </w:p>
        </w:tc>
        <w:tc>
          <w:tcPr>
            <w:tcW w:w="2047" w:type="dxa"/>
            <w:noWrap/>
            <w:hideMark/>
          </w:tcPr>
          <w:p w14:paraId="434ECD9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0.416</w:t>
            </w:r>
          </w:p>
        </w:tc>
        <w:tc>
          <w:tcPr>
            <w:tcW w:w="1283" w:type="dxa"/>
            <w:noWrap/>
            <w:hideMark/>
          </w:tcPr>
          <w:p w14:paraId="4131B1D5"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0.355</w:t>
            </w:r>
          </w:p>
        </w:tc>
        <w:tc>
          <w:tcPr>
            <w:tcW w:w="1449" w:type="dxa"/>
            <w:noWrap/>
            <w:hideMark/>
          </w:tcPr>
          <w:p w14:paraId="2A80170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0.530</w:t>
            </w:r>
          </w:p>
        </w:tc>
        <w:tc>
          <w:tcPr>
            <w:tcW w:w="1888" w:type="dxa"/>
            <w:noWrap/>
            <w:hideMark/>
          </w:tcPr>
          <w:p w14:paraId="0EFFB7BE"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0.780</w:t>
            </w:r>
          </w:p>
        </w:tc>
      </w:tr>
      <w:tr w:rsidR="008B3CED" w:rsidRPr="008B3CED" w14:paraId="55E5A87D" w14:textId="77777777" w:rsidTr="008B3CED">
        <w:trPr>
          <w:jc w:val="center"/>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02563AC" w14:textId="77777777" w:rsidR="00B61765" w:rsidRPr="008B3CED" w:rsidRDefault="00B61765" w:rsidP="008B3CED">
            <w:pPr>
              <w:widowControl w:val="0"/>
              <w:spacing w:before="40" w:after="50"/>
              <w:rPr>
                <w:b w:val="0"/>
                <w:bCs w:val="0"/>
                <w:sz w:val="23"/>
                <w:szCs w:val="23"/>
              </w:rPr>
            </w:pPr>
            <w:r w:rsidRPr="008B3CED">
              <w:rPr>
                <w:b w:val="0"/>
                <w:bCs w:val="0"/>
                <w:sz w:val="23"/>
                <w:szCs w:val="23"/>
              </w:rPr>
              <w:t>DIS4</w:t>
            </w:r>
          </w:p>
        </w:tc>
        <w:tc>
          <w:tcPr>
            <w:tcW w:w="1701" w:type="dxa"/>
            <w:noWrap/>
            <w:hideMark/>
          </w:tcPr>
          <w:p w14:paraId="256D8E09"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0.331</w:t>
            </w:r>
          </w:p>
        </w:tc>
        <w:tc>
          <w:tcPr>
            <w:tcW w:w="1417" w:type="dxa"/>
            <w:noWrap/>
            <w:hideMark/>
          </w:tcPr>
          <w:p w14:paraId="76EEC3DC"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0.261</w:t>
            </w:r>
          </w:p>
        </w:tc>
        <w:tc>
          <w:tcPr>
            <w:tcW w:w="1701" w:type="dxa"/>
            <w:noWrap/>
            <w:hideMark/>
          </w:tcPr>
          <w:p w14:paraId="40DCD1E6"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0.192</w:t>
            </w:r>
          </w:p>
        </w:tc>
        <w:tc>
          <w:tcPr>
            <w:tcW w:w="1134" w:type="dxa"/>
            <w:noWrap/>
            <w:hideMark/>
          </w:tcPr>
          <w:p w14:paraId="726D2B82"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0.243</w:t>
            </w:r>
          </w:p>
        </w:tc>
        <w:tc>
          <w:tcPr>
            <w:tcW w:w="2047" w:type="dxa"/>
            <w:noWrap/>
            <w:hideMark/>
          </w:tcPr>
          <w:p w14:paraId="612B1AF4"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0.262</w:t>
            </w:r>
          </w:p>
        </w:tc>
        <w:tc>
          <w:tcPr>
            <w:tcW w:w="1283" w:type="dxa"/>
            <w:noWrap/>
            <w:hideMark/>
          </w:tcPr>
          <w:p w14:paraId="4DB5DEE0"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0.173</w:t>
            </w:r>
          </w:p>
        </w:tc>
        <w:tc>
          <w:tcPr>
            <w:tcW w:w="1449" w:type="dxa"/>
            <w:noWrap/>
            <w:hideMark/>
          </w:tcPr>
          <w:p w14:paraId="55342837"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sz w:val="23"/>
                <w:szCs w:val="23"/>
              </w:rPr>
            </w:pPr>
            <w:r w:rsidRPr="008B3CED">
              <w:rPr>
                <w:sz w:val="23"/>
                <w:szCs w:val="23"/>
              </w:rPr>
              <w:t>0.371</w:t>
            </w:r>
          </w:p>
        </w:tc>
        <w:tc>
          <w:tcPr>
            <w:tcW w:w="1888" w:type="dxa"/>
            <w:noWrap/>
            <w:hideMark/>
          </w:tcPr>
          <w:p w14:paraId="4CF7B4F3" w14:textId="77777777" w:rsidR="00B61765" w:rsidRPr="008B3CED" w:rsidRDefault="00B61765" w:rsidP="008B3CED">
            <w:pPr>
              <w:widowControl w:val="0"/>
              <w:spacing w:before="40" w:after="50"/>
              <w:jc w:val="center"/>
              <w:cnfStyle w:val="000000000000" w:firstRow="0" w:lastRow="0" w:firstColumn="0" w:lastColumn="0" w:oddVBand="0" w:evenVBand="0" w:oddHBand="0" w:evenHBand="0" w:firstRowFirstColumn="0" w:firstRowLastColumn="0" w:lastRowFirstColumn="0" w:lastRowLastColumn="0"/>
              <w:rPr>
                <w:b/>
                <w:bCs/>
                <w:sz w:val="23"/>
                <w:szCs w:val="23"/>
              </w:rPr>
            </w:pPr>
            <w:r w:rsidRPr="008B3CED">
              <w:rPr>
                <w:b/>
                <w:bCs/>
                <w:sz w:val="23"/>
                <w:szCs w:val="23"/>
              </w:rPr>
              <w:t>0.776</w:t>
            </w:r>
          </w:p>
        </w:tc>
      </w:tr>
    </w:tbl>
    <w:p w14:paraId="325386D4" w14:textId="023D78BB" w:rsidR="00B61765" w:rsidRPr="00727AB8" w:rsidRDefault="00B61765" w:rsidP="00727AB8">
      <w:pPr>
        <w:pStyle w:val="BodyText"/>
        <w:spacing w:line="252" w:lineRule="auto"/>
        <w:ind w:firstLine="0"/>
      </w:pPr>
      <w:r w:rsidRPr="00727AB8">
        <w:rPr>
          <w:sz w:val="20"/>
          <w:szCs w:val="20"/>
        </w:rPr>
        <w:t xml:space="preserve">Source: </w:t>
      </w:r>
      <w:r w:rsidR="00B667E1" w:rsidRPr="00727AB8">
        <w:rPr>
          <w:sz w:val="20"/>
          <w:szCs w:val="20"/>
        </w:rPr>
        <w:t xml:space="preserve"> </w:t>
      </w:r>
      <w:r w:rsidR="00316EC6" w:rsidRPr="00727AB8">
        <w:rPr>
          <w:sz w:val="20"/>
          <w:szCs w:val="20"/>
        </w:rPr>
        <w:t>Author’s ADANCO output</w:t>
      </w:r>
      <w:r w:rsidRPr="00727AB8">
        <w:br w:type="page"/>
      </w:r>
    </w:p>
    <w:p w14:paraId="607F5D45" w14:textId="77777777" w:rsidR="00B61765" w:rsidRPr="00727AB8" w:rsidRDefault="00B61765" w:rsidP="00727AB8">
      <w:pPr>
        <w:pStyle w:val="BodyText"/>
        <w:spacing w:line="252" w:lineRule="auto"/>
        <w:ind w:firstLine="0"/>
        <w:sectPr w:rsidR="00B61765" w:rsidRPr="00727AB8" w:rsidSect="008B3CED">
          <w:headerReference w:type="even" r:id="rId11"/>
          <w:headerReference w:type="default" r:id="rId12"/>
          <w:pgSz w:w="16443" w:h="11624" w:orient="landscape" w:code="1"/>
          <w:pgMar w:top="851" w:right="1134" w:bottom="851" w:left="1134" w:header="720" w:footer="720" w:gutter="0"/>
          <w:pgNumType w:start="25"/>
          <w:cols w:space="720"/>
          <w:docGrid w:linePitch="299"/>
        </w:sectPr>
      </w:pPr>
    </w:p>
    <w:p w14:paraId="7523B738" w14:textId="3C37409D" w:rsidR="00A43F4A" w:rsidRPr="00727AB8" w:rsidRDefault="00A43F4A" w:rsidP="008B3CED">
      <w:pPr>
        <w:pStyle w:val="Heading1"/>
        <w:spacing w:before="0" w:line="252" w:lineRule="auto"/>
      </w:pPr>
      <w:r w:rsidRPr="00727AB8">
        <w:lastRenderedPageBreak/>
        <w:t xml:space="preserve">5. </w:t>
      </w:r>
      <w:r w:rsidR="002618AA" w:rsidRPr="00727AB8">
        <w:t xml:space="preserve">Conclusions </w:t>
      </w:r>
    </w:p>
    <w:p w14:paraId="1AD1E328" w14:textId="77777777" w:rsidR="00B61765" w:rsidRPr="00727AB8" w:rsidRDefault="00B61765" w:rsidP="00727AB8">
      <w:pPr>
        <w:pStyle w:val="BodyText"/>
        <w:spacing w:line="252" w:lineRule="auto"/>
        <w:rPr>
          <w:lang w:val="en-IN"/>
        </w:rPr>
      </w:pPr>
      <w:r w:rsidRPr="00727AB8">
        <w:rPr>
          <w:lang w:val="en-GB"/>
        </w:rPr>
        <w:t xml:space="preserve">In this study, the measurement instrument has been created </w:t>
      </w:r>
      <w:r w:rsidRPr="00727AB8">
        <w:rPr>
          <w:lang w:val="en-IN"/>
        </w:rPr>
        <w:t xml:space="preserve">based on a multi-stage process covering factor identification, item generation, pre-testing, pilot testing, and scale validation. Data has been collected from 123 professionals across the roles of supply chain executives, risk professionals, and AI consultants representing manufacturing, wholesale trade, and retail trade industries in India. The questionnaire has been pre-tested based on interviews with nine industry experts and two academicians. The scale has been assessed for reliability and validity using Confirmatory Factor Analysis (CFA). The scale generated consists of eight factors that are modeled as latent variables covering a total of twenty-eight items. </w:t>
      </w:r>
      <w:r w:rsidRPr="00727AB8">
        <w:rPr>
          <w:lang w:val="en-GB"/>
        </w:rPr>
        <w:t xml:space="preserve">The results show that the instrument is valid and reliable and can be used as a tool to further study the factors influencing the three stages of adoption of AI in SCRM. </w:t>
      </w:r>
      <w:r w:rsidRPr="00727AB8">
        <w:rPr>
          <w:lang w:val="en-IN"/>
        </w:rPr>
        <w:t>This measurement scale can be used by supply chain executives and researchers to examine and study factors that influence the adoption of AI in SCRM for the selected industries.</w:t>
      </w:r>
    </w:p>
    <w:p w14:paraId="01043EE4" w14:textId="77777777" w:rsidR="00B61765" w:rsidRPr="00727AB8" w:rsidRDefault="00B61765" w:rsidP="00727AB8">
      <w:pPr>
        <w:pStyle w:val="BodyText"/>
        <w:rPr>
          <w:lang w:val="en-GB"/>
        </w:rPr>
      </w:pPr>
      <w:r w:rsidRPr="00727AB8">
        <w:rPr>
          <w:lang w:val="en-GB"/>
        </w:rPr>
        <w:t xml:space="preserve">As companies emerge from the pandemic that has resulted in disruptions of both local as well as global operations and supply chains, the need for such an instrument has become a business necessity. The results of the study have important implications for supply chain executives and risk professionals to study and measure the factors influencing AI adoption in SCRM. In addition to the measurement instrument, this study has contributed to the identification of new factors influencing the adoption of AI in SCRM. These new factors, namely, big data management as part of the technological context, </w:t>
      </w:r>
      <w:r w:rsidRPr="00727AB8">
        <w:rPr>
          <w:iCs/>
          <w:lang w:val="en-GB"/>
        </w:rPr>
        <w:t>ERM alignment</w:t>
      </w:r>
      <w:r w:rsidRPr="00727AB8">
        <w:rPr>
          <w:lang w:val="en-GB"/>
        </w:rPr>
        <w:t xml:space="preserve"> as part of the organizational context, and </w:t>
      </w:r>
      <w:r w:rsidRPr="00727AB8">
        <w:rPr>
          <w:iCs/>
          <w:lang w:val="en-GB"/>
        </w:rPr>
        <w:t xml:space="preserve">disruption response </w:t>
      </w:r>
      <w:r w:rsidRPr="00727AB8">
        <w:rPr>
          <w:lang w:val="en-GB"/>
        </w:rPr>
        <w:t xml:space="preserve">as part of the environmental context would enable researchers to use them in the context of studying the adoption of AI in SCRM. </w:t>
      </w:r>
    </w:p>
    <w:p w14:paraId="6AF13316" w14:textId="11D47760" w:rsidR="002618AA" w:rsidRPr="00727AB8" w:rsidRDefault="00B61765" w:rsidP="00727AB8">
      <w:pPr>
        <w:pStyle w:val="BodyText"/>
      </w:pPr>
      <w:r w:rsidRPr="00727AB8">
        <w:rPr>
          <w:lang w:val="en-GB"/>
        </w:rPr>
        <w:t xml:space="preserve">This study has certain limitations that should be addressed in future research. First, the respondents of this research are limited to a few industries, and further studies are required </w:t>
      </w:r>
      <w:r w:rsidR="00F6434D" w:rsidRPr="00727AB8">
        <w:rPr>
          <w:lang w:val="en-GB"/>
        </w:rPr>
        <w:t xml:space="preserve">to cover </w:t>
      </w:r>
      <w:r w:rsidRPr="00727AB8">
        <w:rPr>
          <w:lang w:val="en-GB"/>
        </w:rPr>
        <w:t>other industries. Second, the measurement scale has been developed and tested in the context of Indian businesses. Finally, this study is limited to cross-sectional survey data taken at a single point in time. Additional studies using longitudinal data would enable an in-depth examination of the measurement scale</w:t>
      </w:r>
      <w:r w:rsidR="002C4294" w:rsidRPr="00727AB8">
        <w:t>.</w:t>
      </w:r>
    </w:p>
    <w:p w14:paraId="601AE1C6" w14:textId="77777777" w:rsidR="008B3CED" w:rsidRDefault="008B3CED" w:rsidP="008B3CED">
      <w:pPr>
        <w:pStyle w:val="BodyText"/>
        <w:pBdr>
          <w:top w:val="single" w:sz="8" w:space="1" w:color="auto"/>
        </w:pBdr>
        <w:ind w:firstLine="0"/>
        <w:rPr>
          <w:b/>
        </w:rPr>
      </w:pPr>
    </w:p>
    <w:p w14:paraId="146F0206" w14:textId="77777777" w:rsidR="00A43F4A" w:rsidRPr="00727AB8" w:rsidRDefault="00A43F4A" w:rsidP="00727AB8">
      <w:pPr>
        <w:pStyle w:val="BodyText"/>
        <w:spacing w:before="0" w:after="240"/>
        <w:ind w:right="170" w:firstLine="0"/>
        <w:rPr>
          <w:b/>
        </w:rPr>
      </w:pPr>
      <w:r w:rsidRPr="00727AB8">
        <w:rPr>
          <w:b/>
        </w:rPr>
        <w:t>References</w:t>
      </w:r>
    </w:p>
    <w:p w14:paraId="219C68F2"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Aggarwal, A. K., &amp; Davè, D. S. (2018). An artificial intelligence approach to curtailing the bullwhip effect in supply chains</w:t>
      </w:r>
      <w:r w:rsidRPr="008B3CED">
        <w:rPr>
          <w:i/>
          <w:spacing w:val="0"/>
          <w:lang w:val="en-GB"/>
        </w:rPr>
        <w:t>. IUP Journal of Supply Chain Management, 15</w:t>
      </w:r>
      <w:r w:rsidRPr="008B3CED">
        <w:rPr>
          <w:spacing w:val="0"/>
          <w:lang w:val="en-GB"/>
        </w:rPr>
        <w:t>(4), 51-58.</w:t>
      </w:r>
    </w:p>
    <w:p w14:paraId="0872C28A" w14:textId="45BA2D1F" w:rsidR="00B372F7" w:rsidRPr="008B3CED" w:rsidRDefault="00B372F7" w:rsidP="008B3CED">
      <w:pPr>
        <w:pStyle w:val="Reference"/>
        <w:spacing w:line="247" w:lineRule="auto"/>
        <w:ind w:left="578" w:hanging="578"/>
        <w:rPr>
          <w:spacing w:val="0"/>
          <w:lang w:val="en-GB"/>
        </w:rPr>
      </w:pPr>
      <w:r w:rsidRPr="008B3CED">
        <w:rPr>
          <w:spacing w:val="0"/>
          <w:lang w:val="en-GB"/>
        </w:rPr>
        <w:t xml:space="preserve">Awa, H. O., Ojiabo, O. U., &amp; Orokor, L. E. (2017). Integrated Technology-Organization-Environment (T-O-E) taxonomies for technology adoption. </w:t>
      </w:r>
      <w:r w:rsidRPr="008B3CED">
        <w:rPr>
          <w:i/>
          <w:spacing w:val="0"/>
          <w:lang w:val="en-GB"/>
        </w:rPr>
        <w:t xml:space="preserve">Journal of Enterprise Information </w:t>
      </w:r>
      <w:r w:rsidR="00325AB7" w:rsidRPr="00325AB7">
        <w:rPr>
          <w:i/>
          <w:spacing w:val="0"/>
          <w:lang w:val="en-GB"/>
        </w:rPr>
        <w:t>Management,</w:t>
      </w:r>
      <w:r w:rsidRPr="008B3CED">
        <w:rPr>
          <w:i/>
          <w:spacing w:val="0"/>
          <w:lang w:val="en-GB"/>
        </w:rPr>
        <w:t xml:space="preserve"> 30</w:t>
      </w:r>
      <w:r w:rsidRPr="008B3CED">
        <w:rPr>
          <w:spacing w:val="0"/>
          <w:lang w:val="en-GB"/>
        </w:rPr>
        <w:t>(6), 893</w:t>
      </w:r>
      <w:r w:rsidRPr="008B3CED">
        <w:rPr>
          <w:spacing w:val="0"/>
        </w:rPr>
        <w:t>-</w:t>
      </w:r>
      <w:r w:rsidRPr="008B3CED">
        <w:rPr>
          <w:spacing w:val="0"/>
          <w:lang w:val="en-GB"/>
        </w:rPr>
        <w:t>921.</w:t>
      </w:r>
    </w:p>
    <w:p w14:paraId="359DEB92"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Banerjee, A., &amp; Banerjee, T. (2017). Determinants of analytics process adoption in emerging economies: Perspectives from the marketing domain in India. </w:t>
      </w:r>
      <w:r w:rsidRPr="008B3CED">
        <w:rPr>
          <w:i/>
          <w:spacing w:val="0"/>
          <w:lang w:val="en-GB"/>
        </w:rPr>
        <w:t>Vikalpa: The Journal for Decision Makers, 42</w:t>
      </w:r>
      <w:r w:rsidRPr="008B3CED">
        <w:rPr>
          <w:spacing w:val="0"/>
          <w:lang w:val="en-GB"/>
        </w:rPr>
        <w:t>(2), 95</w:t>
      </w:r>
      <w:r w:rsidRPr="008B3CED">
        <w:rPr>
          <w:spacing w:val="0"/>
        </w:rPr>
        <w:t>-</w:t>
      </w:r>
      <w:r w:rsidRPr="008B3CED">
        <w:rPr>
          <w:spacing w:val="0"/>
          <w:lang w:val="en-GB"/>
        </w:rPr>
        <w:t>110.</w:t>
      </w:r>
    </w:p>
    <w:p w14:paraId="066305CD"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Barclay, D., Higgins, C., &amp; Thompson, R. (1995). The Partial Least Squares (PLS) approach to causal modelling: Personal computer adoption and use as an illustration. </w:t>
      </w:r>
      <w:r w:rsidRPr="008B3CED">
        <w:rPr>
          <w:i/>
          <w:spacing w:val="0"/>
          <w:lang w:val="en-GB"/>
        </w:rPr>
        <w:t>Journal of Technology Studies, 2</w:t>
      </w:r>
      <w:r w:rsidRPr="008B3CED">
        <w:rPr>
          <w:spacing w:val="0"/>
          <w:lang w:val="en-GB"/>
        </w:rPr>
        <w:t>(2), 285</w:t>
      </w:r>
      <w:r w:rsidRPr="008B3CED">
        <w:rPr>
          <w:spacing w:val="0"/>
        </w:rPr>
        <w:t>-</w:t>
      </w:r>
      <w:r w:rsidRPr="008B3CED">
        <w:rPr>
          <w:spacing w:val="0"/>
          <w:lang w:val="en-GB"/>
        </w:rPr>
        <w:t>309.</w:t>
      </w:r>
    </w:p>
    <w:p w14:paraId="1FE24112"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Baryannis, G., Validi, S., Dani, S., &amp; Antoniou, G. (2019). Supply chain risk management and artificial intelligence: State of the art and future research directions.</w:t>
      </w:r>
      <w:r w:rsidRPr="008B3CED">
        <w:rPr>
          <w:i/>
          <w:spacing w:val="0"/>
          <w:lang w:val="en-GB"/>
        </w:rPr>
        <w:t xml:space="preserve"> International Journal of Production Research, 57</w:t>
      </w:r>
      <w:r w:rsidRPr="008B3CED">
        <w:rPr>
          <w:spacing w:val="0"/>
          <w:lang w:val="en-GB"/>
        </w:rPr>
        <w:t>(7), 2179</w:t>
      </w:r>
      <w:r w:rsidRPr="008B3CED">
        <w:rPr>
          <w:spacing w:val="0"/>
        </w:rPr>
        <w:t>-</w:t>
      </w:r>
      <w:r w:rsidRPr="008B3CED">
        <w:rPr>
          <w:spacing w:val="0"/>
          <w:lang w:val="en-GB"/>
        </w:rPr>
        <w:t>2202.</w:t>
      </w:r>
    </w:p>
    <w:p w14:paraId="45E720D6" w14:textId="77777777" w:rsidR="00B372F7" w:rsidRPr="008B3CED" w:rsidRDefault="00B372F7" w:rsidP="008B3CED">
      <w:pPr>
        <w:pStyle w:val="Reference"/>
        <w:spacing w:line="247" w:lineRule="auto"/>
        <w:ind w:left="578" w:hanging="578"/>
        <w:rPr>
          <w:spacing w:val="0"/>
          <w:lang w:val="en-GB"/>
        </w:rPr>
      </w:pPr>
      <w:r w:rsidRPr="008B3CED">
        <w:rPr>
          <w:spacing w:val="0"/>
          <w:lang w:val="en-GB"/>
        </w:rPr>
        <w:lastRenderedPageBreak/>
        <w:t xml:space="preserve">Brock, J. K.-U., &amp; Wangenheim, F. V. (2019). Demystifying AI: What digital transformation leaders can teach you about realistic artificial intelligence. </w:t>
      </w:r>
      <w:r w:rsidRPr="008B3CED">
        <w:rPr>
          <w:i/>
          <w:spacing w:val="0"/>
          <w:lang w:val="en-GB"/>
        </w:rPr>
        <w:t>California Management Review,</w:t>
      </w:r>
      <w:r w:rsidRPr="008B3CED">
        <w:rPr>
          <w:spacing w:val="0"/>
          <w:lang w:val="en-GB"/>
        </w:rPr>
        <w:t xml:space="preserve"> </w:t>
      </w:r>
      <w:r w:rsidRPr="008B3CED">
        <w:rPr>
          <w:i/>
          <w:spacing w:val="0"/>
          <w:lang w:val="en-GB"/>
        </w:rPr>
        <w:t>61</w:t>
      </w:r>
      <w:r w:rsidRPr="008B3CED">
        <w:rPr>
          <w:spacing w:val="0"/>
          <w:lang w:val="en-GB"/>
        </w:rPr>
        <w:t>(4), 110</w:t>
      </w:r>
      <w:r w:rsidRPr="008B3CED">
        <w:rPr>
          <w:spacing w:val="0"/>
        </w:rPr>
        <w:t>-</w:t>
      </w:r>
      <w:r w:rsidRPr="008B3CED">
        <w:rPr>
          <w:spacing w:val="0"/>
          <w:lang w:val="en-GB"/>
        </w:rPr>
        <w:t>134.</w:t>
      </w:r>
    </w:p>
    <w:p w14:paraId="4EE38EA7" w14:textId="051BCA46" w:rsidR="00B372F7" w:rsidRPr="008B3CED" w:rsidRDefault="00B372F7" w:rsidP="008B3CED">
      <w:pPr>
        <w:pStyle w:val="Reference"/>
        <w:spacing w:line="247" w:lineRule="auto"/>
        <w:ind w:left="578" w:hanging="578"/>
        <w:rPr>
          <w:spacing w:val="0"/>
          <w:lang w:val="en-GB"/>
        </w:rPr>
      </w:pPr>
      <w:r w:rsidRPr="008B3CED">
        <w:rPr>
          <w:spacing w:val="0"/>
          <w:lang w:val="en-GB"/>
        </w:rPr>
        <w:t xml:space="preserve">Bughin, J., Seong, J., Manyika, J., Chui, M., &amp; Joshi, R. (2018). </w:t>
      </w:r>
      <w:r w:rsidRPr="008B3CED">
        <w:rPr>
          <w:i/>
          <w:spacing w:val="0"/>
          <w:lang w:val="en-GB"/>
        </w:rPr>
        <w:t>Notes from the AI frontier: Modeling the impact of AI on the world economy.</w:t>
      </w:r>
      <w:r w:rsidRPr="008B3CED">
        <w:rPr>
          <w:spacing w:val="0"/>
          <w:lang w:val="en-GB"/>
        </w:rPr>
        <w:t xml:space="preserve"> </w:t>
      </w:r>
      <w:r w:rsidR="00325AB7" w:rsidRPr="00325AB7">
        <w:rPr>
          <w:spacing w:val="0"/>
          <w:lang w:val="en-GB"/>
        </w:rPr>
        <w:t>Retrieved October 10, 2021, from</w:t>
      </w:r>
      <w:r w:rsidRPr="008B3CED">
        <w:rPr>
          <w:spacing w:val="0"/>
          <w:lang w:val="en-GB"/>
        </w:rPr>
        <w:t xml:space="preserve"> https://www.mckinsey.com/featured-insights/artificial-intelligence/notes-from-the-ai-frontier-modeling-the-impact-of-ai-on-the-world-economy</w:t>
      </w:r>
    </w:p>
    <w:p w14:paraId="0AE47F80" w14:textId="543D0725" w:rsidR="00B372F7" w:rsidRPr="008B3CED" w:rsidRDefault="00B372F7" w:rsidP="008B3CED">
      <w:pPr>
        <w:pStyle w:val="Reference"/>
        <w:spacing w:line="247" w:lineRule="auto"/>
        <w:ind w:left="578" w:hanging="578"/>
        <w:rPr>
          <w:spacing w:val="0"/>
          <w:lang w:val="en-GB"/>
        </w:rPr>
      </w:pPr>
      <w:r w:rsidRPr="008B3CED">
        <w:rPr>
          <w:spacing w:val="0"/>
          <w:lang w:val="en-GB"/>
        </w:rPr>
        <w:t xml:space="preserve">Chan, F. T. S., </w:t>
      </w:r>
      <w:r w:rsidR="004F5AE2" w:rsidRPr="008B3CED">
        <w:rPr>
          <w:spacing w:val="0"/>
          <w:lang w:val="en-GB"/>
        </w:rPr>
        <w:t>&amp;</w:t>
      </w:r>
      <w:r w:rsidRPr="008B3CED">
        <w:rPr>
          <w:spacing w:val="0"/>
          <w:lang w:val="en-GB"/>
        </w:rPr>
        <w:t xml:space="preserve"> Chong, A. Y. L. (2013). Determinants of mobile supply chain management system diffusion: A structural equation analysis of manufacturing firms. </w:t>
      </w:r>
      <w:r w:rsidRPr="008B3CED">
        <w:rPr>
          <w:i/>
          <w:spacing w:val="0"/>
          <w:lang w:val="en-GB"/>
        </w:rPr>
        <w:t>International Journal of Production Research</w:t>
      </w:r>
      <w:r w:rsidRPr="008B3CED">
        <w:rPr>
          <w:spacing w:val="0"/>
          <w:lang w:val="en-GB"/>
        </w:rPr>
        <w:t xml:space="preserve">, </w:t>
      </w:r>
      <w:r w:rsidRPr="008B3CED">
        <w:rPr>
          <w:i/>
          <w:spacing w:val="0"/>
          <w:lang w:val="en-GB"/>
        </w:rPr>
        <w:t>51</w:t>
      </w:r>
      <w:r w:rsidRPr="008B3CED">
        <w:rPr>
          <w:spacing w:val="0"/>
          <w:lang w:val="en-GB"/>
        </w:rPr>
        <w:t>(4), 1196</w:t>
      </w:r>
      <w:r w:rsidR="004F5AE2" w:rsidRPr="008B3CED">
        <w:rPr>
          <w:spacing w:val="0"/>
          <w:lang w:val="en-GB"/>
        </w:rPr>
        <w:t>-</w:t>
      </w:r>
      <w:r w:rsidRPr="008B3CED">
        <w:rPr>
          <w:spacing w:val="0"/>
          <w:lang w:val="en-GB"/>
        </w:rPr>
        <w:t>1213.</w:t>
      </w:r>
    </w:p>
    <w:p w14:paraId="7AFC1B60" w14:textId="3C94F824" w:rsidR="00B372F7" w:rsidRPr="008B3CED" w:rsidRDefault="00B372F7" w:rsidP="008B3CED">
      <w:pPr>
        <w:pStyle w:val="Reference"/>
        <w:spacing w:line="247" w:lineRule="auto"/>
        <w:ind w:left="578" w:hanging="578"/>
        <w:rPr>
          <w:spacing w:val="0"/>
        </w:rPr>
      </w:pPr>
      <w:r w:rsidRPr="008B3CED">
        <w:t xml:space="preserve">Chandra, S., </w:t>
      </w:r>
      <w:r w:rsidR="004F5AE2" w:rsidRPr="008B3CED">
        <w:t>&amp;</w:t>
      </w:r>
      <w:r w:rsidRPr="008B3CED">
        <w:t xml:space="preserve"> Kumar, K. N. (2018). Exploring </w:t>
      </w:r>
      <w:r w:rsidR="004F5AE2" w:rsidRPr="008B3CED">
        <w:t>factors influencing organizational adoption of augmented reality in e-commerce</w:t>
      </w:r>
      <w:r w:rsidRPr="008B3CED">
        <w:t xml:space="preserve">: Empirical </w:t>
      </w:r>
      <w:r w:rsidR="004F5AE2" w:rsidRPr="008B3CED">
        <w:t>analysis using technology-organization-environment mode</w:t>
      </w:r>
      <w:r w:rsidRPr="008B3CED">
        <w:t xml:space="preserve">l. </w:t>
      </w:r>
      <w:r w:rsidRPr="008B3CED">
        <w:rPr>
          <w:i/>
        </w:rPr>
        <w:t xml:space="preserve">Journal of Electronic Commerce </w:t>
      </w:r>
      <w:r w:rsidR="00325AB7" w:rsidRPr="00325AB7">
        <w:rPr>
          <w:i/>
        </w:rPr>
        <w:t>Research,</w:t>
      </w:r>
      <w:r w:rsidRPr="008B3CED">
        <w:t xml:space="preserve"> </w:t>
      </w:r>
      <w:r w:rsidRPr="008B3CED">
        <w:rPr>
          <w:i/>
        </w:rPr>
        <w:t>19</w:t>
      </w:r>
      <w:r w:rsidRPr="008B3CED">
        <w:t>(3), 237</w:t>
      </w:r>
      <w:r w:rsidR="004F5AE2" w:rsidRPr="008B3CED">
        <w:t>-</w:t>
      </w:r>
      <w:r w:rsidRPr="008B3CED">
        <w:t>265</w:t>
      </w:r>
      <w:r w:rsidRPr="008B3CED">
        <w:rPr>
          <w:spacing w:val="0"/>
        </w:rPr>
        <w:t>.</w:t>
      </w:r>
    </w:p>
    <w:p w14:paraId="34B335D3" w14:textId="1457D5AE" w:rsidR="00B372F7" w:rsidRPr="008B3CED" w:rsidRDefault="00B372F7" w:rsidP="008B3CED">
      <w:pPr>
        <w:pStyle w:val="Reference"/>
        <w:spacing w:line="247" w:lineRule="auto"/>
        <w:ind w:left="578" w:hanging="578"/>
        <w:rPr>
          <w:spacing w:val="-5"/>
          <w:lang w:val="en-GB"/>
        </w:rPr>
      </w:pPr>
      <w:r w:rsidRPr="008B3CED">
        <w:rPr>
          <w:spacing w:val="-5"/>
          <w:lang w:val="en-GB"/>
        </w:rPr>
        <w:t xml:space="preserve">Chen, D. Q., Preston, D. S., </w:t>
      </w:r>
      <w:r w:rsidR="004F5AE2" w:rsidRPr="008B3CED">
        <w:rPr>
          <w:spacing w:val="-5"/>
          <w:lang w:val="en-GB"/>
        </w:rPr>
        <w:t>&amp;</w:t>
      </w:r>
      <w:r w:rsidRPr="008B3CED">
        <w:rPr>
          <w:spacing w:val="-5"/>
          <w:lang w:val="en-GB"/>
        </w:rPr>
        <w:t xml:space="preserve"> Swink, M. (2015). How the use of big data analytics affects value creation in suppl</w:t>
      </w:r>
      <w:r w:rsidR="001B1EE5" w:rsidRPr="008B3CED">
        <w:rPr>
          <w:spacing w:val="-5"/>
          <w:lang w:val="en-GB"/>
        </w:rPr>
        <w:t xml:space="preserve">y chain </w:t>
      </w:r>
      <w:r w:rsidRPr="008B3CED">
        <w:rPr>
          <w:spacing w:val="-5"/>
          <w:lang w:val="en-GB"/>
        </w:rPr>
        <w:t xml:space="preserve">management. </w:t>
      </w:r>
      <w:r w:rsidRPr="008B3CED">
        <w:rPr>
          <w:i/>
          <w:spacing w:val="-5"/>
          <w:lang w:val="en-GB"/>
        </w:rPr>
        <w:t>Journal of Management Information Systems</w:t>
      </w:r>
      <w:r w:rsidRPr="008B3CED">
        <w:rPr>
          <w:spacing w:val="-5"/>
          <w:lang w:val="en-GB"/>
        </w:rPr>
        <w:t xml:space="preserve">, </w:t>
      </w:r>
      <w:r w:rsidRPr="008B3CED">
        <w:rPr>
          <w:i/>
          <w:spacing w:val="-5"/>
          <w:lang w:val="en-GB"/>
        </w:rPr>
        <w:t>32</w:t>
      </w:r>
      <w:r w:rsidRPr="008B3CED">
        <w:rPr>
          <w:spacing w:val="-5"/>
          <w:lang w:val="en-GB"/>
        </w:rPr>
        <w:t>(4), 4</w:t>
      </w:r>
      <w:r w:rsidR="004F5AE2" w:rsidRPr="008B3CED">
        <w:rPr>
          <w:spacing w:val="-5"/>
        </w:rPr>
        <w:t>-</w:t>
      </w:r>
      <w:r w:rsidRPr="008B3CED">
        <w:rPr>
          <w:spacing w:val="-5"/>
          <w:lang w:val="en-GB"/>
        </w:rPr>
        <w:t>39.</w:t>
      </w:r>
    </w:p>
    <w:p w14:paraId="5A24B48B" w14:textId="6A944E62" w:rsidR="00B372F7" w:rsidRPr="008B3CED" w:rsidRDefault="00B372F7" w:rsidP="008B3CED">
      <w:pPr>
        <w:pStyle w:val="Reference"/>
        <w:spacing w:line="247" w:lineRule="auto"/>
        <w:ind w:left="578" w:hanging="578"/>
        <w:rPr>
          <w:spacing w:val="0"/>
          <w:lang w:val="en-GB"/>
        </w:rPr>
      </w:pPr>
      <w:r w:rsidRPr="008B3CED">
        <w:rPr>
          <w:spacing w:val="0"/>
          <w:lang w:val="en-GB"/>
        </w:rPr>
        <w:t xml:space="preserve">Chui, M., Manyika, J., Miremadi, M., Henke, N., Chung, R., Nel, P., </w:t>
      </w:r>
      <w:r w:rsidR="004F5AE2" w:rsidRPr="008B3CED">
        <w:rPr>
          <w:spacing w:val="0"/>
          <w:lang w:val="en-GB"/>
        </w:rPr>
        <w:t>&amp;</w:t>
      </w:r>
      <w:r w:rsidRPr="008B3CED">
        <w:rPr>
          <w:spacing w:val="0"/>
          <w:lang w:val="en-GB"/>
        </w:rPr>
        <w:t xml:space="preserve"> Malhotra, S. (2018). </w:t>
      </w:r>
      <w:r w:rsidRPr="008B3CED">
        <w:rPr>
          <w:i/>
          <w:spacing w:val="0"/>
          <w:lang w:val="en-GB"/>
        </w:rPr>
        <w:t xml:space="preserve">Notes from the AI frontier: Insights from hundreds of use cases. </w:t>
      </w:r>
      <w:r w:rsidRPr="008B3CED">
        <w:rPr>
          <w:spacing w:val="0"/>
          <w:lang w:val="en-GB"/>
        </w:rPr>
        <w:t>Retrieved October 10, 2021, from https://www.mckinsey.com/~/media/mckinsey/featured%20insights/artificial%20intelligence/notes%20from%20the%20ai%20frontier%20applications%20and%20value%20of%20deep%20learning/notes-from-the-ai-frontier-insights-from-hundreds-of-use-cases-discussion-paper.ashx</w:t>
      </w:r>
    </w:p>
    <w:p w14:paraId="4D2F30FB"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Churchill, G. A. (1979). A paradigm for developing better measures of marketing constructs. </w:t>
      </w:r>
      <w:r w:rsidRPr="008B3CED">
        <w:rPr>
          <w:i/>
          <w:iCs w:val="0"/>
          <w:spacing w:val="0"/>
          <w:lang w:val="en-GB"/>
        </w:rPr>
        <w:t>Journal of Marketing Research,</w:t>
      </w:r>
      <w:r w:rsidRPr="008B3CED">
        <w:rPr>
          <w:spacing w:val="0"/>
          <w:lang w:val="en-GB"/>
        </w:rPr>
        <w:t xml:space="preserve"> </w:t>
      </w:r>
      <w:r w:rsidRPr="008B3CED">
        <w:rPr>
          <w:i/>
          <w:spacing w:val="0"/>
          <w:lang w:val="en-GB"/>
        </w:rPr>
        <w:t>16</w:t>
      </w:r>
      <w:r w:rsidRPr="008B3CED">
        <w:rPr>
          <w:spacing w:val="0"/>
          <w:lang w:val="en-GB"/>
        </w:rPr>
        <w:t>(1), 64</w:t>
      </w:r>
      <w:r w:rsidRPr="008B3CED">
        <w:rPr>
          <w:spacing w:val="0"/>
        </w:rPr>
        <w:t>-73.</w:t>
      </w:r>
    </w:p>
    <w:p w14:paraId="2676EA06"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Colicchia, C., &amp; Strozzi, F. (2012). Supply chain risk management: A new methodology for a systematic literature review.</w:t>
      </w:r>
      <w:r w:rsidRPr="008B3CED">
        <w:rPr>
          <w:i/>
          <w:spacing w:val="0"/>
          <w:lang w:val="en-GB"/>
        </w:rPr>
        <w:t xml:space="preserve"> Supply Chain Management,</w:t>
      </w:r>
      <w:r w:rsidRPr="008B3CED">
        <w:rPr>
          <w:spacing w:val="0"/>
          <w:lang w:val="en-GB"/>
        </w:rPr>
        <w:t xml:space="preserve"> </w:t>
      </w:r>
      <w:r w:rsidRPr="008B3CED">
        <w:rPr>
          <w:i/>
          <w:spacing w:val="0"/>
          <w:lang w:val="en-GB"/>
        </w:rPr>
        <w:t>17</w:t>
      </w:r>
      <w:r w:rsidRPr="008B3CED">
        <w:rPr>
          <w:spacing w:val="0"/>
          <w:lang w:val="en-GB"/>
        </w:rPr>
        <w:t>(4), 403-418.</w:t>
      </w:r>
    </w:p>
    <w:p w14:paraId="3AFC9DAE" w14:textId="77777777" w:rsidR="00B372F7" w:rsidRPr="008B3CED" w:rsidRDefault="00B372F7" w:rsidP="008B3CED">
      <w:pPr>
        <w:pStyle w:val="Reference"/>
        <w:spacing w:line="247" w:lineRule="auto"/>
        <w:ind w:left="578" w:hanging="578"/>
        <w:rPr>
          <w:lang w:val="en-IN"/>
        </w:rPr>
      </w:pPr>
      <w:r w:rsidRPr="008B3CED">
        <w:rPr>
          <w:lang w:val="en-IN"/>
        </w:rPr>
        <w:t xml:space="preserve">Craighead, C. W., Ketchen, D. J., Dunn, K. S., &amp; Hult, G. T. M. (2011). Addressing common method variance: Guidelines for survey research on information technology, operations, and supply chain management. </w:t>
      </w:r>
      <w:r w:rsidRPr="008B3CED">
        <w:rPr>
          <w:i/>
          <w:lang w:val="en-IN"/>
        </w:rPr>
        <w:t>IEEE Transactions on Engineering Management,</w:t>
      </w:r>
      <w:r w:rsidRPr="008B3CED">
        <w:rPr>
          <w:lang w:val="en-IN"/>
        </w:rPr>
        <w:t xml:space="preserve"> </w:t>
      </w:r>
      <w:r w:rsidRPr="008B3CED">
        <w:rPr>
          <w:i/>
          <w:lang w:val="en-IN"/>
        </w:rPr>
        <w:t>58</w:t>
      </w:r>
      <w:r w:rsidRPr="008B3CED">
        <w:rPr>
          <w:lang w:val="en-IN"/>
        </w:rPr>
        <w:t>(3), 578-588.</w:t>
      </w:r>
    </w:p>
    <w:p w14:paraId="0839EA37"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Curkovic, S., Scannell, T., Wagner, B., &amp; Vitek, M. (2013). Supply chain risk management within the context of COSO’s enterprise risk management framework. </w:t>
      </w:r>
      <w:r w:rsidRPr="008B3CED">
        <w:rPr>
          <w:i/>
          <w:spacing w:val="0"/>
          <w:lang w:val="en-GB"/>
        </w:rPr>
        <w:t>Journal of Business Administration Research,</w:t>
      </w:r>
      <w:r w:rsidRPr="008B3CED">
        <w:rPr>
          <w:spacing w:val="0"/>
          <w:lang w:val="en-GB"/>
        </w:rPr>
        <w:t xml:space="preserve"> </w:t>
      </w:r>
      <w:r w:rsidRPr="008B3CED">
        <w:rPr>
          <w:i/>
          <w:spacing w:val="0"/>
          <w:lang w:val="en-GB"/>
        </w:rPr>
        <w:t>2</w:t>
      </w:r>
      <w:r w:rsidRPr="008B3CED">
        <w:rPr>
          <w:spacing w:val="0"/>
          <w:lang w:val="en-GB"/>
        </w:rPr>
        <w:t>(1), Article 15.</w:t>
      </w:r>
    </w:p>
    <w:p w14:paraId="30DAF6D4" w14:textId="030CAC5E" w:rsidR="00B372F7" w:rsidRPr="008B3CED" w:rsidRDefault="00B372F7" w:rsidP="008B3CED">
      <w:pPr>
        <w:pStyle w:val="Reference"/>
        <w:spacing w:line="247" w:lineRule="auto"/>
        <w:ind w:left="578" w:hanging="578"/>
        <w:rPr>
          <w:spacing w:val="0"/>
          <w:lang w:val="en-IN"/>
        </w:rPr>
      </w:pPr>
      <w:r w:rsidRPr="008B3CED">
        <w:rPr>
          <w:spacing w:val="0"/>
          <w:lang w:val="en-IN"/>
        </w:rPr>
        <w:t xml:space="preserve">Dijkstra, T. </w:t>
      </w:r>
      <w:r w:rsidR="00325AB7" w:rsidRPr="00325AB7">
        <w:rPr>
          <w:spacing w:val="0"/>
          <w:lang w:val="en-IN"/>
        </w:rPr>
        <w:t xml:space="preserve">K., </w:t>
      </w:r>
      <w:r w:rsidRPr="008B3CED">
        <w:rPr>
          <w:spacing w:val="0"/>
          <w:lang w:val="en-IN"/>
        </w:rPr>
        <w:t xml:space="preserve">&amp; Henseler, J. (2015). Consistent partial least squares path modeling. </w:t>
      </w:r>
      <w:r w:rsidRPr="008B3CED">
        <w:rPr>
          <w:i/>
          <w:spacing w:val="0"/>
          <w:lang w:val="en-IN"/>
        </w:rPr>
        <w:t>MIS Quarterly,</w:t>
      </w:r>
      <w:r w:rsidRPr="008B3CED">
        <w:rPr>
          <w:spacing w:val="0"/>
          <w:lang w:val="en-IN"/>
        </w:rPr>
        <w:t xml:space="preserve"> </w:t>
      </w:r>
      <w:r w:rsidRPr="008B3CED">
        <w:rPr>
          <w:i/>
          <w:spacing w:val="0"/>
          <w:lang w:val="en-IN"/>
        </w:rPr>
        <w:t>39</w:t>
      </w:r>
      <w:r w:rsidRPr="008B3CED">
        <w:rPr>
          <w:spacing w:val="0"/>
          <w:lang w:val="en-IN"/>
        </w:rPr>
        <w:t>(2), 297-316.</w:t>
      </w:r>
    </w:p>
    <w:p w14:paraId="5B3BFB5B"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Dun &amp; Bradstreet. (2020). </w:t>
      </w:r>
      <w:r w:rsidRPr="008B3CED">
        <w:rPr>
          <w:i/>
          <w:spacing w:val="0"/>
          <w:lang w:val="en-GB"/>
        </w:rPr>
        <w:t>Business impact of the coronavirus</w:t>
      </w:r>
      <w:r w:rsidRPr="008B3CED">
        <w:rPr>
          <w:spacing w:val="0"/>
          <w:lang w:val="en-GB"/>
        </w:rPr>
        <w:t xml:space="preserve">. Retrieved October 10, 2021, from </w:t>
      </w:r>
      <w:hyperlink r:id="rId13" w:history="1">
        <w:r w:rsidRPr="008B3CED">
          <w:rPr>
            <w:rStyle w:val="Hyperlink"/>
            <w:color w:val="auto"/>
            <w:spacing w:val="0"/>
            <w:u w:val="none"/>
            <w:lang w:val="en-GB"/>
          </w:rPr>
          <w:t>https://www.dnb.com/content/dam/english/economic-and-industry-insight/DNB_Business_Impact_of_the_Coronavirus_US.pdf</w:t>
        </w:r>
      </w:hyperlink>
    </w:p>
    <w:p w14:paraId="2726B1D2"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Fornell, C., &amp; Larcker, D. F. (1981). Evaluating structural equation models with unobservable variables and measurement error. </w:t>
      </w:r>
      <w:r w:rsidRPr="008B3CED">
        <w:rPr>
          <w:i/>
          <w:spacing w:val="0"/>
          <w:lang w:val="en-GB"/>
        </w:rPr>
        <w:t>Journal of Marketing Research, 18</w:t>
      </w:r>
      <w:r w:rsidRPr="008B3CED">
        <w:rPr>
          <w:spacing w:val="0"/>
          <w:lang w:val="en-GB"/>
        </w:rPr>
        <w:t>(1), 39-50.</w:t>
      </w:r>
    </w:p>
    <w:p w14:paraId="12807E03"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Haenlein, M., &amp; Kaplan, A. (2019). A brief history of artificial intelligence: On the past, present, and future of artificial intelligence. </w:t>
      </w:r>
      <w:r w:rsidRPr="008B3CED">
        <w:rPr>
          <w:i/>
          <w:spacing w:val="0"/>
          <w:lang w:val="en-GB"/>
        </w:rPr>
        <w:t>California Management Review,</w:t>
      </w:r>
      <w:r w:rsidRPr="008B3CED">
        <w:rPr>
          <w:spacing w:val="0"/>
          <w:lang w:val="en-GB"/>
        </w:rPr>
        <w:t xml:space="preserve"> </w:t>
      </w:r>
      <w:r w:rsidRPr="008B3CED">
        <w:rPr>
          <w:i/>
          <w:spacing w:val="0"/>
          <w:lang w:val="en-GB"/>
        </w:rPr>
        <w:t>61</w:t>
      </w:r>
      <w:r w:rsidRPr="008B3CED">
        <w:rPr>
          <w:spacing w:val="0"/>
          <w:lang w:val="en-GB"/>
        </w:rPr>
        <w:t>(4), 5</w:t>
      </w:r>
      <w:r w:rsidRPr="008B3CED">
        <w:rPr>
          <w:spacing w:val="0"/>
        </w:rPr>
        <w:t>-</w:t>
      </w:r>
      <w:r w:rsidRPr="008B3CED">
        <w:rPr>
          <w:spacing w:val="0"/>
          <w:lang w:val="en-GB"/>
        </w:rPr>
        <w:t>14.</w:t>
      </w:r>
    </w:p>
    <w:p w14:paraId="666EFFD2" w14:textId="1790E4CF" w:rsidR="00B372F7" w:rsidRPr="008B3CED" w:rsidRDefault="00B372F7" w:rsidP="008B3CED">
      <w:pPr>
        <w:pStyle w:val="Reference"/>
        <w:spacing w:line="247" w:lineRule="auto"/>
        <w:ind w:left="578" w:hanging="578"/>
        <w:rPr>
          <w:spacing w:val="0"/>
          <w:lang w:val="en-GB"/>
        </w:rPr>
      </w:pPr>
      <w:r w:rsidRPr="008B3CED">
        <w:rPr>
          <w:spacing w:val="0"/>
          <w:lang w:val="en-GB"/>
        </w:rPr>
        <w:t xml:space="preserve">Hair, J. F., Sarstedt, M., Hopkins, L., &amp; Kuppelwieser, V. G. (2014). Partial Least Squares Structural Equation Modeling (PLS-SEM): An emerging tool in business research. </w:t>
      </w:r>
      <w:r w:rsidRPr="008B3CED">
        <w:rPr>
          <w:i/>
          <w:spacing w:val="0"/>
          <w:lang w:val="en-GB"/>
        </w:rPr>
        <w:t xml:space="preserve">European Business </w:t>
      </w:r>
      <w:r w:rsidR="00325AB7" w:rsidRPr="00325AB7">
        <w:rPr>
          <w:i/>
          <w:spacing w:val="0"/>
          <w:lang w:val="en-GB"/>
        </w:rPr>
        <w:t>Review,</w:t>
      </w:r>
      <w:r w:rsidRPr="008B3CED">
        <w:rPr>
          <w:spacing w:val="0"/>
          <w:lang w:val="en-GB"/>
        </w:rPr>
        <w:t xml:space="preserve"> </w:t>
      </w:r>
      <w:r w:rsidRPr="008B3CED">
        <w:rPr>
          <w:i/>
          <w:spacing w:val="0"/>
          <w:lang w:val="en-GB"/>
        </w:rPr>
        <w:t>26</w:t>
      </w:r>
      <w:r w:rsidRPr="008B3CED">
        <w:rPr>
          <w:spacing w:val="0"/>
          <w:lang w:val="en-GB"/>
        </w:rPr>
        <w:t>(2), 106</w:t>
      </w:r>
      <w:r w:rsidRPr="008B3CED">
        <w:rPr>
          <w:spacing w:val="0"/>
        </w:rPr>
        <w:t>-</w:t>
      </w:r>
      <w:r w:rsidRPr="008B3CED">
        <w:rPr>
          <w:spacing w:val="0"/>
          <w:lang w:val="en-GB"/>
        </w:rPr>
        <w:t>121.</w:t>
      </w:r>
    </w:p>
    <w:p w14:paraId="4B59071C" w14:textId="77777777" w:rsidR="00B372F7" w:rsidRPr="008B3CED" w:rsidRDefault="00B372F7" w:rsidP="008B3CED">
      <w:pPr>
        <w:pStyle w:val="Reference"/>
        <w:spacing w:line="247" w:lineRule="auto"/>
        <w:ind w:left="578" w:hanging="578"/>
        <w:rPr>
          <w:spacing w:val="0"/>
          <w:lang w:val="en-GB"/>
        </w:rPr>
      </w:pPr>
      <w:r w:rsidRPr="008B3CED">
        <w:rPr>
          <w:spacing w:val="0"/>
          <w:lang w:val="en-GB"/>
        </w:rPr>
        <w:lastRenderedPageBreak/>
        <w:t xml:space="preserve">Harman, H. H. (1967). </w:t>
      </w:r>
      <w:r w:rsidRPr="008B3CED">
        <w:rPr>
          <w:i/>
          <w:spacing w:val="0"/>
          <w:lang w:val="en-GB"/>
        </w:rPr>
        <w:t>Modern factor analysis</w:t>
      </w:r>
      <w:r w:rsidRPr="008B3CED">
        <w:rPr>
          <w:spacing w:val="0"/>
          <w:lang w:val="en-GB"/>
        </w:rPr>
        <w:t>. Chicago, IL: University of Chicago Press.</w:t>
      </w:r>
    </w:p>
    <w:p w14:paraId="3172A5A0" w14:textId="77777777" w:rsidR="00B372F7" w:rsidRPr="008B3CED" w:rsidRDefault="00B372F7" w:rsidP="008B3CED">
      <w:pPr>
        <w:pStyle w:val="Reference"/>
        <w:spacing w:line="247" w:lineRule="auto"/>
        <w:ind w:left="578" w:hanging="578"/>
        <w:rPr>
          <w:i/>
          <w:spacing w:val="0"/>
          <w:lang w:val="en-GB"/>
        </w:rPr>
      </w:pPr>
      <w:r w:rsidRPr="008B3CED">
        <w:rPr>
          <w:spacing w:val="0"/>
          <w:lang w:val="en-GB"/>
        </w:rPr>
        <w:t xml:space="preserve">Henseler, J. (2017). </w:t>
      </w:r>
      <w:r w:rsidRPr="008B3CED">
        <w:rPr>
          <w:i/>
          <w:spacing w:val="0"/>
          <w:lang w:val="en-GB"/>
        </w:rPr>
        <w:t>ADANCO 2.0.1 User Manual</w:t>
      </w:r>
      <w:r w:rsidRPr="008B3CED">
        <w:rPr>
          <w:spacing w:val="0"/>
          <w:lang w:val="en-GB"/>
        </w:rPr>
        <w:t>.</w:t>
      </w:r>
      <w:r w:rsidRPr="008B3CED">
        <w:rPr>
          <w:i/>
          <w:spacing w:val="0"/>
          <w:lang w:val="en-GB"/>
        </w:rPr>
        <w:t xml:space="preserve"> </w:t>
      </w:r>
      <w:r w:rsidRPr="008B3CED">
        <w:rPr>
          <w:spacing w:val="0"/>
          <w:lang w:val="en-GB"/>
        </w:rPr>
        <w:t>Kleve, Germany: Composite Modeling</w:t>
      </w:r>
      <w:r w:rsidRPr="008B3CED">
        <w:rPr>
          <w:i/>
          <w:spacing w:val="0"/>
          <w:lang w:val="en-GB"/>
        </w:rPr>
        <w:t>.</w:t>
      </w:r>
    </w:p>
    <w:p w14:paraId="1648A68C"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Henseler, J., Hubona, G., &amp; Ray, P. A. (2016). Using PLS path modeling in new technology research: Updated guidelines. </w:t>
      </w:r>
      <w:r w:rsidRPr="008B3CED">
        <w:rPr>
          <w:i/>
          <w:spacing w:val="0"/>
          <w:lang w:val="en-GB"/>
        </w:rPr>
        <w:t>Industrial Management &amp; Data Systems,</w:t>
      </w:r>
      <w:r w:rsidRPr="008B3CED">
        <w:rPr>
          <w:spacing w:val="0"/>
          <w:lang w:val="en-GB"/>
        </w:rPr>
        <w:t xml:space="preserve"> </w:t>
      </w:r>
      <w:r w:rsidRPr="008B3CED">
        <w:rPr>
          <w:i/>
          <w:spacing w:val="0"/>
          <w:lang w:val="en-GB"/>
        </w:rPr>
        <w:t>116</w:t>
      </w:r>
      <w:r w:rsidRPr="008B3CED">
        <w:rPr>
          <w:spacing w:val="0"/>
          <w:lang w:val="en-GB"/>
        </w:rPr>
        <w:t>(1), 2</w:t>
      </w:r>
      <w:r w:rsidRPr="008B3CED">
        <w:rPr>
          <w:spacing w:val="0"/>
        </w:rPr>
        <w:t>-</w:t>
      </w:r>
      <w:r w:rsidRPr="008B3CED">
        <w:rPr>
          <w:spacing w:val="0"/>
          <w:lang w:val="en-GB"/>
        </w:rPr>
        <w:t>20.</w:t>
      </w:r>
    </w:p>
    <w:p w14:paraId="7C29FDE8" w14:textId="77777777" w:rsidR="00B372F7" w:rsidRPr="008B3CED" w:rsidRDefault="00B372F7" w:rsidP="008B3CED">
      <w:pPr>
        <w:pStyle w:val="Reference"/>
        <w:spacing w:line="247" w:lineRule="auto"/>
        <w:ind w:left="578" w:hanging="578"/>
        <w:rPr>
          <w:i/>
          <w:spacing w:val="0"/>
          <w:lang w:val="en-GB"/>
        </w:rPr>
      </w:pPr>
      <w:r w:rsidRPr="008B3CED">
        <w:rPr>
          <w:iCs w:val="0"/>
          <w:spacing w:val="0"/>
          <w:lang w:val="en-GB"/>
        </w:rPr>
        <w:t>Hensley, R. L.</w:t>
      </w:r>
      <w:r w:rsidRPr="008B3CED">
        <w:rPr>
          <w:i/>
          <w:spacing w:val="0"/>
          <w:lang w:val="en-GB"/>
        </w:rPr>
        <w:t xml:space="preserve"> </w:t>
      </w:r>
      <w:r w:rsidRPr="008B3CED">
        <w:rPr>
          <w:iCs w:val="0"/>
          <w:spacing w:val="0"/>
          <w:lang w:val="en-GB"/>
        </w:rPr>
        <w:t xml:space="preserve">(1999). A review of operations management studies using scale development techniques. </w:t>
      </w:r>
      <w:r w:rsidRPr="008B3CED">
        <w:rPr>
          <w:i/>
          <w:spacing w:val="0"/>
          <w:lang w:val="en-GB"/>
        </w:rPr>
        <w:t>Journal of Operations Management</w:t>
      </w:r>
      <w:r w:rsidRPr="008B3CED">
        <w:rPr>
          <w:i/>
          <w:iCs w:val="0"/>
          <w:spacing w:val="0"/>
          <w:lang w:val="en-GB"/>
        </w:rPr>
        <w:t>, 17</w:t>
      </w:r>
      <w:r w:rsidRPr="008B3CED">
        <w:rPr>
          <w:iCs w:val="0"/>
          <w:spacing w:val="0"/>
          <w:lang w:val="en-GB"/>
        </w:rPr>
        <w:t>, 343</w:t>
      </w:r>
      <w:r w:rsidRPr="008B3CED">
        <w:rPr>
          <w:spacing w:val="0"/>
        </w:rPr>
        <w:t>-</w:t>
      </w:r>
      <w:r w:rsidRPr="008B3CED">
        <w:rPr>
          <w:iCs w:val="0"/>
          <w:spacing w:val="0"/>
          <w:lang w:val="en-GB"/>
        </w:rPr>
        <w:t>358</w:t>
      </w:r>
      <w:r w:rsidRPr="008B3CED">
        <w:rPr>
          <w:i/>
          <w:spacing w:val="0"/>
          <w:lang w:val="en-GB"/>
        </w:rPr>
        <w:t>.</w:t>
      </w:r>
    </w:p>
    <w:p w14:paraId="71FE9E32" w14:textId="6D86A7AD" w:rsidR="00B372F7" w:rsidRPr="008B3CED" w:rsidRDefault="00B372F7" w:rsidP="008B3CED">
      <w:pPr>
        <w:pStyle w:val="Reference"/>
        <w:spacing w:line="247" w:lineRule="auto"/>
        <w:ind w:left="578" w:hanging="578"/>
        <w:rPr>
          <w:spacing w:val="0"/>
          <w:lang w:val="en-GB"/>
        </w:rPr>
      </w:pPr>
      <w:r w:rsidRPr="008B3CED">
        <w:rPr>
          <w:spacing w:val="0"/>
          <w:lang w:val="en-GB"/>
        </w:rPr>
        <w:t xml:space="preserve">Hossain, M. A., Quaddus, M., &amp; Islam, N. (2016). Developing and validating a model explaining the assimilation process of RFID: An empirical study. </w:t>
      </w:r>
      <w:r w:rsidRPr="008B3CED">
        <w:rPr>
          <w:i/>
          <w:spacing w:val="0"/>
          <w:lang w:val="en-GB"/>
        </w:rPr>
        <w:t xml:space="preserve">Information Systems </w:t>
      </w:r>
      <w:r w:rsidR="00325AB7" w:rsidRPr="00325AB7">
        <w:rPr>
          <w:i/>
          <w:spacing w:val="0"/>
          <w:lang w:val="en-GB"/>
        </w:rPr>
        <w:t>Frontiers,</w:t>
      </w:r>
      <w:r w:rsidRPr="008B3CED">
        <w:rPr>
          <w:spacing w:val="0"/>
          <w:lang w:val="en-GB"/>
        </w:rPr>
        <w:t xml:space="preserve"> </w:t>
      </w:r>
      <w:r w:rsidRPr="008B3CED">
        <w:rPr>
          <w:i/>
          <w:spacing w:val="0"/>
          <w:lang w:val="en-GB"/>
        </w:rPr>
        <w:t>18</w:t>
      </w:r>
      <w:r w:rsidRPr="008B3CED">
        <w:rPr>
          <w:spacing w:val="0"/>
          <w:lang w:val="en-GB"/>
        </w:rPr>
        <w:t>(4), 645</w:t>
      </w:r>
      <w:r w:rsidRPr="008B3CED">
        <w:rPr>
          <w:spacing w:val="0"/>
        </w:rPr>
        <w:t>-</w:t>
      </w:r>
      <w:r w:rsidRPr="008B3CED">
        <w:rPr>
          <w:spacing w:val="0"/>
          <w:lang w:val="en-GB"/>
        </w:rPr>
        <w:t>663.</w:t>
      </w:r>
    </w:p>
    <w:p w14:paraId="5007DA2D"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Huang, M.-H., Rust, R., &amp; Maksimovic, V. (2019). The feeling economy: Managing in the next generation of Artificial Intelligence (AI). </w:t>
      </w:r>
      <w:r w:rsidRPr="008B3CED">
        <w:rPr>
          <w:i/>
          <w:spacing w:val="0"/>
          <w:lang w:val="en-GB"/>
        </w:rPr>
        <w:t>California Management Review, 61</w:t>
      </w:r>
      <w:r w:rsidRPr="008B3CED">
        <w:rPr>
          <w:spacing w:val="0"/>
          <w:lang w:val="en-GB"/>
        </w:rPr>
        <w:t>(4), 43</w:t>
      </w:r>
      <w:r w:rsidRPr="008B3CED">
        <w:rPr>
          <w:spacing w:val="0"/>
        </w:rPr>
        <w:t>-</w:t>
      </w:r>
      <w:r w:rsidRPr="008B3CED">
        <w:rPr>
          <w:spacing w:val="0"/>
          <w:lang w:val="en-GB"/>
        </w:rPr>
        <w:t>65.</w:t>
      </w:r>
    </w:p>
    <w:p w14:paraId="5849CD7B"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Jeble, S., Dubey, R., Childe, S. J., Papadopoulos, T., Roubaud, D., &amp; Prakash, A. (2018). Impact of big data and predictive analytics capability on supply chain sustainability. </w:t>
      </w:r>
      <w:r w:rsidRPr="008B3CED">
        <w:rPr>
          <w:i/>
          <w:spacing w:val="0"/>
          <w:lang w:val="en-GB"/>
        </w:rPr>
        <w:t>The International Journal of Logistics Management, 29</w:t>
      </w:r>
      <w:r w:rsidRPr="008B3CED">
        <w:rPr>
          <w:spacing w:val="0"/>
          <w:lang w:val="en-GB"/>
        </w:rPr>
        <w:t xml:space="preserve">(2), 513-538. </w:t>
      </w:r>
    </w:p>
    <w:p w14:paraId="225CDF6C" w14:textId="77777777" w:rsidR="00B372F7" w:rsidRPr="008B3CED" w:rsidRDefault="00B372F7" w:rsidP="008B3CED">
      <w:pPr>
        <w:pStyle w:val="Reference"/>
        <w:spacing w:line="247" w:lineRule="auto"/>
        <w:ind w:left="578" w:hanging="578"/>
        <w:rPr>
          <w:spacing w:val="0"/>
          <w:lang w:val="en-GB"/>
        </w:rPr>
      </w:pPr>
      <w:r w:rsidRPr="008B3CED">
        <w:rPr>
          <w:spacing w:val="-4"/>
          <w:lang w:val="en-GB"/>
        </w:rPr>
        <w:t xml:space="preserve">Jüttner, U., Peck, H., &amp; Christopher, M. (2003). Supply chain risk management: Outlining an agenda for future research. </w:t>
      </w:r>
      <w:r w:rsidRPr="008B3CED">
        <w:rPr>
          <w:i/>
          <w:spacing w:val="-4"/>
          <w:lang w:val="en-GB"/>
        </w:rPr>
        <w:t>International Journal of Logistics Research and Applications,</w:t>
      </w:r>
      <w:r w:rsidRPr="008B3CED">
        <w:rPr>
          <w:spacing w:val="-4"/>
          <w:lang w:val="en-GB"/>
        </w:rPr>
        <w:t xml:space="preserve"> </w:t>
      </w:r>
      <w:r w:rsidRPr="008B3CED">
        <w:rPr>
          <w:i/>
          <w:spacing w:val="-4"/>
          <w:lang w:val="en-GB"/>
        </w:rPr>
        <w:t>6</w:t>
      </w:r>
      <w:r w:rsidRPr="008B3CED">
        <w:rPr>
          <w:spacing w:val="-4"/>
          <w:lang w:val="en-GB"/>
        </w:rPr>
        <w:t>(4), 197-210</w:t>
      </w:r>
      <w:r w:rsidRPr="008B3CED">
        <w:rPr>
          <w:spacing w:val="0"/>
          <w:lang w:val="en-GB"/>
        </w:rPr>
        <w:t xml:space="preserve">. </w:t>
      </w:r>
    </w:p>
    <w:p w14:paraId="5FF3EFC0" w14:textId="77777777" w:rsidR="00B372F7" w:rsidRPr="008B3CED" w:rsidRDefault="00B372F7" w:rsidP="008B3CED">
      <w:pPr>
        <w:pStyle w:val="Reference"/>
        <w:spacing w:line="247" w:lineRule="auto"/>
        <w:ind w:left="578" w:hanging="578"/>
        <w:rPr>
          <w:spacing w:val="0"/>
          <w:lang w:val="en-IN"/>
        </w:rPr>
      </w:pPr>
      <w:r w:rsidRPr="008B3CED">
        <w:rPr>
          <w:spacing w:val="0"/>
          <w:lang w:val="en-IN"/>
        </w:rPr>
        <w:t xml:space="preserve">Katsaliaki, K., Galetsi, P., &amp; Kumar, S. (2021). Supply chain disruptions and resilience: A major review and future research agenda. </w:t>
      </w:r>
      <w:r w:rsidRPr="008B3CED">
        <w:rPr>
          <w:i/>
          <w:spacing w:val="0"/>
          <w:lang w:val="en-IN"/>
        </w:rPr>
        <w:t>Annals of Operations Research</w:t>
      </w:r>
      <w:r w:rsidRPr="008B3CED">
        <w:rPr>
          <w:spacing w:val="0"/>
          <w:lang w:val="en-IN"/>
        </w:rPr>
        <w:t>, (2021).</w:t>
      </w:r>
      <w:r w:rsidRPr="008B3CED">
        <w:rPr>
          <w:spacing w:val="0"/>
        </w:rPr>
        <w:t xml:space="preserve"> </w:t>
      </w:r>
      <w:proofErr w:type="gramStart"/>
      <w:r w:rsidRPr="008B3CED">
        <w:rPr>
          <w:spacing w:val="0"/>
          <w:lang w:val="en-IN"/>
        </w:rPr>
        <w:t>doi:</w:t>
      </w:r>
      <w:proofErr w:type="gramEnd"/>
      <w:r w:rsidRPr="008B3CED">
        <w:rPr>
          <w:spacing w:val="0"/>
          <w:lang w:val="en-IN"/>
        </w:rPr>
        <w:t>10.1007/s10479-020-03912-1</w:t>
      </w:r>
    </w:p>
    <w:p w14:paraId="2C417776"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Kumar, V., Bak, O., Guo, R., Shaw, S. L., Colicchia, C., Garza-Reyes, J. A., &amp; Kumari, A. (2018). An empirical analysis of supply and manufacturing risk and business performance: A Chinese manufacturing supply chain perspective. </w:t>
      </w:r>
      <w:r w:rsidRPr="008B3CED">
        <w:rPr>
          <w:i/>
          <w:spacing w:val="0"/>
          <w:lang w:val="en-GB"/>
        </w:rPr>
        <w:t>Supply Chain Management: An International Journal,</w:t>
      </w:r>
      <w:r w:rsidRPr="008B3CED">
        <w:rPr>
          <w:spacing w:val="0"/>
          <w:lang w:val="en-GB"/>
        </w:rPr>
        <w:t xml:space="preserve"> </w:t>
      </w:r>
      <w:r w:rsidRPr="008B3CED">
        <w:rPr>
          <w:i/>
          <w:spacing w:val="0"/>
          <w:lang w:val="en-GB"/>
        </w:rPr>
        <w:t>23</w:t>
      </w:r>
      <w:r w:rsidRPr="008B3CED">
        <w:rPr>
          <w:spacing w:val="0"/>
          <w:lang w:val="en-GB"/>
        </w:rPr>
        <w:t>(6), 461</w:t>
      </w:r>
      <w:r w:rsidRPr="008B3CED">
        <w:rPr>
          <w:spacing w:val="0"/>
        </w:rPr>
        <w:t>-</w:t>
      </w:r>
      <w:r w:rsidRPr="008B3CED">
        <w:rPr>
          <w:spacing w:val="0"/>
          <w:lang w:val="en-GB"/>
        </w:rPr>
        <w:t>479.</w:t>
      </w:r>
    </w:p>
    <w:p w14:paraId="6690B41E" w14:textId="315CCE2E" w:rsidR="00B372F7" w:rsidRPr="008B3CED" w:rsidRDefault="00B372F7" w:rsidP="008B3CED">
      <w:pPr>
        <w:pStyle w:val="Reference"/>
        <w:spacing w:line="247" w:lineRule="auto"/>
        <w:ind w:left="578" w:hanging="578"/>
        <w:rPr>
          <w:spacing w:val="0"/>
          <w:lang w:val="en-GB"/>
        </w:rPr>
      </w:pPr>
      <w:r w:rsidRPr="008B3CED">
        <w:rPr>
          <w:spacing w:val="0"/>
          <w:lang w:val="en-GB"/>
        </w:rPr>
        <w:t xml:space="preserve">Lai, Y., Huifen, S., &amp; Jifan, R. (2018). Understanding the determinants of Big Data Analytics (BDA) adoption in logistics and supply chain management. </w:t>
      </w:r>
      <w:r w:rsidRPr="008B3CED">
        <w:rPr>
          <w:i/>
          <w:spacing w:val="0"/>
          <w:lang w:val="en-GB"/>
        </w:rPr>
        <w:t xml:space="preserve">International Journal of Logistics </w:t>
      </w:r>
      <w:r w:rsidR="00325AB7" w:rsidRPr="00325AB7">
        <w:rPr>
          <w:i/>
          <w:spacing w:val="0"/>
          <w:lang w:val="en-GB"/>
        </w:rPr>
        <w:t>Management,</w:t>
      </w:r>
      <w:r w:rsidRPr="008B3CED">
        <w:rPr>
          <w:spacing w:val="0"/>
          <w:lang w:val="en-GB"/>
        </w:rPr>
        <w:t xml:space="preserve"> </w:t>
      </w:r>
      <w:r w:rsidRPr="008B3CED">
        <w:rPr>
          <w:i/>
          <w:spacing w:val="0"/>
          <w:lang w:val="en-GB"/>
        </w:rPr>
        <w:t>29</w:t>
      </w:r>
      <w:r w:rsidRPr="008B3CED">
        <w:rPr>
          <w:spacing w:val="0"/>
          <w:lang w:val="en-GB"/>
        </w:rPr>
        <w:t>(2), 676</w:t>
      </w:r>
      <w:r w:rsidRPr="008B3CED">
        <w:rPr>
          <w:spacing w:val="0"/>
        </w:rPr>
        <w:t>-</w:t>
      </w:r>
      <w:r w:rsidRPr="008B3CED">
        <w:rPr>
          <w:spacing w:val="0"/>
          <w:lang w:val="en-GB"/>
        </w:rPr>
        <w:t>703.</w:t>
      </w:r>
    </w:p>
    <w:p w14:paraId="585AE353" w14:textId="77777777" w:rsidR="00B372F7" w:rsidRPr="008B3CED" w:rsidRDefault="00B372F7" w:rsidP="008B3CED">
      <w:pPr>
        <w:pStyle w:val="Reference"/>
        <w:spacing w:line="247" w:lineRule="auto"/>
        <w:ind w:left="578" w:hanging="578"/>
        <w:rPr>
          <w:spacing w:val="0"/>
        </w:rPr>
      </w:pPr>
      <w:r w:rsidRPr="008B3CED">
        <w:rPr>
          <w:spacing w:val="0"/>
        </w:rPr>
        <w:t xml:space="preserve">Malladi, S. (2013). </w:t>
      </w:r>
      <w:r w:rsidRPr="008B3CED">
        <w:rPr>
          <w:i/>
          <w:spacing w:val="0"/>
        </w:rPr>
        <w:t>Adoption of business intelligence &amp; analytics in organizations - An empirical study of antecedents.</w:t>
      </w:r>
      <w:r w:rsidRPr="008B3CED">
        <w:rPr>
          <w:spacing w:val="0"/>
        </w:rPr>
        <w:t xml:space="preserve"> Paper presented at the </w:t>
      </w:r>
      <w:r w:rsidRPr="008B3CED">
        <w:rPr>
          <w:spacing w:val="0"/>
          <w:lang w:val="en-GB"/>
        </w:rPr>
        <w:t>Proceedings of the Nineteenth Americas Conference on Information Systems, Chicago, Illinois, USA.</w:t>
      </w:r>
    </w:p>
    <w:p w14:paraId="31CFCDBB" w14:textId="0E5D0786" w:rsidR="00B372F7" w:rsidRPr="008B3CED" w:rsidRDefault="00B372F7" w:rsidP="008B3CED">
      <w:pPr>
        <w:pStyle w:val="Reference"/>
        <w:spacing w:line="247" w:lineRule="auto"/>
        <w:ind w:left="578" w:hanging="578"/>
        <w:rPr>
          <w:spacing w:val="0"/>
          <w:lang w:val="en-GB"/>
        </w:rPr>
      </w:pPr>
      <w:r w:rsidRPr="008B3CED">
        <w:rPr>
          <w:spacing w:val="0"/>
          <w:lang w:val="en-GB"/>
        </w:rPr>
        <w:t xml:space="preserve">Molinillo, S., &amp; Japutra, A. (2017). Organizational adoption of digital information and technology: A theoretical review. </w:t>
      </w:r>
      <w:r w:rsidRPr="008B3CED">
        <w:rPr>
          <w:i/>
          <w:spacing w:val="0"/>
          <w:lang w:val="en-GB"/>
        </w:rPr>
        <w:t xml:space="preserve">The Bottom </w:t>
      </w:r>
      <w:r w:rsidR="00325AB7" w:rsidRPr="00325AB7">
        <w:rPr>
          <w:i/>
          <w:spacing w:val="0"/>
          <w:lang w:val="en-GB"/>
        </w:rPr>
        <w:t>Line,</w:t>
      </w:r>
      <w:r w:rsidRPr="008B3CED">
        <w:rPr>
          <w:i/>
          <w:spacing w:val="0"/>
          <w:lang w:val="en-GB"/>
        </w:rPr>
        <w:t xml:space="preserve"> 30</w:t>
      </w:r>
      <w:r w:rsidRPr="008B3CED">
        <w:rPr>
          <w:spacing w:val="0"/>
          <w:lang w:val="en-GB"/>
        </w:rPr>
        <w:t>(1), 33</w:t>
      </w:r>
      <w:r w:rsidRPr="008B3CED">
        <w:rPr>
          <w:spacing w:val="0"/>
        </w:rPr>
        <w:t>-</w:t>
      </w:r>
      <w:r w:rsidRPr="008B3CED">
        <w:rPr>
          <w:spacing w:val="0"/>
          <w:lang w:val="en-GB"/>
        </w:rPr>
        <w:t>46.</w:t>
      </w:r>
    </w:p>
    <w:p w14:paraId="0C144BF7" w14:textId="5EBF5CB6" w:rsidR="00B372F7" w:rsidRPr="008B3CED" w:rsidRDefault="00B372F7" w:rsidP="008B3CED">
      <w:pPr>
        <w:pStyle w:val="Reference"/>
        <w:spacing w:line="247" w:lineRule="auto"/>
        <w:ind w:left="578" w:hanging="578"/>
        <w:rPr>
          <w:spacing w:val="0"/>
          <w:lang w:val="en-GB"/>
        </w:rPr>
      </w:pPr>
      <w:r w:rsidRPr="008B3CED">
        <w:rPr>
          <w:spacing w:val="-4"/>
          <w:lang w:val="en-GB"/>
        </w:rPr>
        <w:t>Morgan, T. R., Robert</w:t>
      </w:r>
      <w:r w:rsidR="005F527F" w:rsidRPr="008B3CED">
        <w:rPr>
          <w:spacing w:val="-4"/>
          <w:lang w:val="en-GB"/>
        </w:rPr>
        <w:t>,</w:t>
      </w:r>
      <w:r w:rsidRPr="008B3CED">
        <w:rPr>
          <w:spacing w:val="-4"/>
          <w:lang w:val="en-GB"/>
        </w:rPr>
        <w:t xml:space="preserve"> G. R., Jr., &amp; Alexander</w:t>
      </w:r>
      <w:r w:rsidR="005F527F" w:rsidRPr="008B3CED">
        <w:rPr>
          <w:spacing w:val="-4"/>
          <w:lang w:val="en-GB"/>
        </w:rPr>
        <w:t>,</w:t>
      </w:r>
      <w:r w:rsidRPr="008B3CED">
        <w:rPr>
          <w:spacing w:val="-4"/>
          <w:lang w:val="en-GB"/>
        </w:rPr>
        <w:t xml:space="preserve"> E. E. (2018). Supplier transparency: Scale development and validation. </w:t>
      </w:r>
      <w:r w:rsidRPr="008B3CED">
        <w:rPr>
          <w:i/>
          <w:iCs w:val="0"/>
          <w:spacing w:val="-4"/>
          <w:lang w:val="en-GB"/>
        </w:rPr>
        <w:t xml:space="preserve">The International Journal of Logistics Management, </w:t>
      </w:r>
      <w:r w:rsidRPr="008B3CED">
        <w:rPr>
          <w:i/>
          <w:spacing w:val="-4"/>
          <w:lang w:val="en-GB"/>
        </w:rPr>
        <w:t>29</w:t>
      </w:r>
      <w:r w:rsidRPr="008B3CED">
        <w:rPr>
          <w:spacing w:val="-4"/>
          <w:lang w:val="en-GB"/>
        </w:rPr>
        <w:t>(3), 959-98</w:t>
      </w:r>
      <w:r w:rsidRPr="008B3CED">
        <w:rPr>
          <w:spacing w:val="0"/>
          <w:lang w:val="en-GB"/>
        </w:rPr>
        <w:t>4.</w:t>
      </w:r>
    </w:p>
    <w:p w14:paraId="01B2EBB8" w14:textId="5E5B0CB3" w:rsidR="00B372F7" w:rsidRPr="008B3CED" w:rsidRDefault="00B372F7" w:rsidP="008B3CED">
      <w:pPr>
        <w:pStyle w:val="Reference"/>
        <w:spacing w:line="247" w:lineRule="auto"/>
        <w:ind w:left="578" w:hanging="578"/>
        <w:rPr>
          <w:spacing w:val="0"/>
          <w:lang w:val="en-GB"/>
        </w:rPr>
      </w:pPr>
      <w:r w:rsidRPr="008B3CED">
        <w:rPr>
          <w:spacing w:val="0"/>
          <w:lang w:val="en-GB"/>
        </w:rPr>
        <w:t xml:space="preserve">Muñoz, E. G., Cossío, N. S., Cedeño, S. del M. R., Ricardo, S. E. L., Hernández, Y. C., &amp; Crespo, E. O. (2020). Application of neural networks in predicting the level of integration in supply chains. </w:t>
      </w:r>
      <w:r w:rsidRPr="008B3CED">
        <w:rPr>
          <w:i/>
          <w:spacing w:val="0"/>
          <w:lang w:val="en-GB"/>
        </w:rPr>
        <w:t xml:space="preserve">Journal of Industrial Engineering and </w:t>
      </w:r>
      <w:r w:rsidR="00325AB7" w:rsidRPr="00325AB7">
        <w:rPr>
          <w:i/>
          <w:spacing w:val="0"/>
          <w:lang w:val="en-GB"/>
        </w:rPr>
        <w:t>Management,</w:t>
      </w:r>
      <w:r w:rsidRPr="008B3CED">
        <w:rPr>
          <w:i/>
          <w:spacing w:val="0"/>
          <w:lang w:val="en-GB"/>
        </w:rPr>
        <w:t xml:space="preserve"> 13</w:t>
      </w:r>
      <w:r w:rsidRPr="008B3CED">
        <w:rPr>
          <w:spacing w:val="0"/>
          <w:lang w:val="en-GB"/>
        </w:rPr>
        <w:t>(1), 120</w:t>
      </w:r>
      <w:r w:rsidRPr="008B3CED">
        <w:rPr>
          <w:spacing w:val="0"/>
        </w:rPr>
        <w:t>-</w:t>
      </w:r>
      <w:r w:rsidRPr="008B3CED">
        <w:rPr>
          <w:spacing w:val="0"/>
          <w:lang w:val="en-GB"/>
        </w:rPr>
        <w:t>132.</w:t>
      </w:r>
    </w:p>
    <w:p w14:paraId="4809B308" w14:textId="77777777" w:rsidR="00B372F7" w:rsidRPr="008B3CED" w:rsidRDefault="00B372F7" w:rsidP="008B3CED">
      <w:pPr>
        <w:pStyle w:val="Reference"/>
        <w:spacing w:line="247" w:lineRule="auto"/>
        <w:ind w:left="578" w:hanging="578"/>
        <w:rPr>
          <w:spacing w:val="0"/>
          <w:lang w:val="en-GB"/>
        </w:rPr>
      </w:pPr>
      <w:r w:rsidRPr="008B3CED">
        <w:rPr>
          <w:lang w:val="en-GB"/>
        </w:rPr>
        <w:t xml:space="preserve">Ojha, R., Ghadge, A., Tiwari, M. K., &amp; Bititci, U. S. (2018). Bayesian network modelling for supply chain risk propagation. </w:t>
      </w:r>
      <w:r w:rsidRPr="008B3CED">
        <w:rPr>
          <w:i/>
          <w:lang w:val="en-GB"/>
        </w:rPr>
        <w:t>International Journal of Production Research, 56</w:t>
      </w:r>
      <w:r w:rsidRPr="008B3CED">
        <w:rPr>
          <w:lang w:val="en-GB"/>
        </w:rPr>
        <w:t>(17), 5795</w:t>
      </w:r>
      <w:r w:rsidRPr="008B3CED">
        <w:t>-</w:t>
      </w:r>
      <w:r w:rsidRPr="008B3CED">
        <w:rPr>
          <w:lang w:val="en-GB"/>
        </w:rPr>
        <w:t>581</w:t>
      </w:r>
      <w:r w:rsidRPr="008B3CED">
        <w:rPr>
          <w:spacing w:val="0"/>
          <w:lang w:val="en-GB"/>
        </w:rPr>
        <w:t>9.</w:t>
      </w:r>
    </w:p>
    <w:p w14:paraId="372614CC"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Paul, S. K., Riaz, S., &amp; Das, S. (2020). Organizational adoption of artificial intelligence in supply chain risk management. In S. K. Sharma, Y. K. Dwivedi, B. Metri &amp; N. P. Rana (Eds.), </w:t>
      </w:r>
      <w:r w:rsidRPr="008B3CED">
        <w:rPr>
          <w:i/>
          <w:spacing w:val="0"/>
          <w:lang w:val="en-GB"/>
        </w:rPr>
        <w:t xml:space="preserve">Re-imagining diffusion and adoption of information technology and systems: A continuing conversation </w:t>
      </w:r>
      <w:r w:rsidRPr="008B3CED">
        <w:rPr>
          <w:spacing w:val="0"/>
          <w:lang w:val="en-GB"/>
        </w:rPr>
        <w:t>(pp. 10-15)</w:t>
      </w:r>
      <w:r w:rsidRPr="008B3CED">
        <w:rPr>
          <w:i/>
          <w:spacing w:val="0"/>
          <w:lang w:val="en-GB"/>
        </w:rPr>
        <w:t>.</w:t>
      </w:r>
      <w:r w:rsidRPr="008B3CED">
        <w:rPr>
          <w:spacing w:val="0"/>
          <w:lang w:val="en-GB"/>
        </w:rPr>
        <w:t xml:space="preserve"> Cham,</w:t>
      </w:r>
      <w:r w:rsidRPr="008B3CED">
        <w:rPr>
          <w:spacing w:val="0"/>
        </w:rPr>
        <w:t xml:space="preserve"> </w:t>
      </w:r>
      <w:r w:rsidRPr="008B3CED">
        <w:rPr>
          <w:spacing w:val="0"/>
          <w:lang w:val="en-GB"/>
        </w:rPr>
        <w:t>Switzerland: Springer.</w:t>
      </w:r>
    </w:p>
    <w:p w14:paraId="4AF8AD40" w14:textId="77777777" w:rsidR="00B372F7" w:rsidRPr="008B3CED" w:rsidRDefault="00B372F7" w:rsidP="008B3CED">
      <w:pPr>
        <w:pStyle w:val="Reference"/>
        <w:spacing w:line="247" w:lineRule="auto"/>
        <w:ind w:left="578" w:hanging="578"/>
        <w:rPr>
          <w:spacing w:val="0"/>
          <w:lang w:val="en-GB"/>
        </w:rPr>
      </w:pPr>
      <w:r w:rsidRPr="008B3CED">
        <w:rPr>
          <w:spacing w:val="0"/>
          <w:lang w:val="en-GB"/>
        </w:rPr>
        <w:lastRenderedPageBreak/>
        <w:t xml:space="preserve">Priyadarshinee, P., Raut, R. D., Jha, M. K., &amp; Kamble, S. S. (2017). A cloud computing adoption in Indian SMEs: Scale development and validation approach. </w:t>
      </w:r>
      <w:r w:rsidRPr="008B3CED">
        <w:rPr>
          <w:i/>
          <w:spacing w:val="0"/>
          <w:lang w:val="en-GB"/>
        </w:rPr>
        <w:t>The Journal of High Technology Management Research,</w:t>
      </w:r>
      <w:r w:rsidRPr="008B3CED">
        <w:rPr>
          <w:spacing w:val="0"/>
          <w:lang w:val="en-GB"/>
        </w:rPr>
        <w:t xml:space="preserve"> </w:t>
      </w:r>
      <w:r w:rsidRPr="008B3CED">
        <w:rPr>
          <w:i/>
          <w:spacing w:val="0"/>
          <w:lang w:val="en-GB"/>
        </w:rPr>
        <w:t>28</w:t>
      </w:r>
      <w:r w:rsidRPr="008B3CED">
        <w:rPr>
          <w:spacing w:val="0"/>
          <w:lang w:val="en-GB"/>
        </w:rPr>
        <w:t xml:space="preserve">(2), 221-245. </w:t>
      </w:r>
    </w:p>
    <w:p w14:paraId="411B539B" w14:textId="3ED0E45E" w:rsidR="00B372F7" w:rsidRPr="008B3CED" w:rsidRDefault="00B372F7" w:rsidP="008B3CED">
      <w:pPr>
        <w:pStyle w:val="Reference"/>
        <w:spacing w:line="247" w:lineRule="auto"/>
        <w:ind w:left="578" w:hanging="578"/>
        <w:rPr>
          <w:spacing w:val="0"/>
          <w:lang w:val="en-GB"/>
        </w:rPr>
      </w:pPr>
      <w:r w:rsidRPr="008B3CED">
        <w:rPr>
          <w:spacing w:val="0"/>
          <w:lang w:val="en-GB"/>
        </w:rPr>
        <w:t xml:space="preserve">Puklavec, B., Oliveira, T., &amp; Popovič, A. (2018). Understanding the determinants of business intelligence system adoption stages. </w:t>
      </w:r>
      <w:r w:rsidRPr="008B3CED">
        <w:rPr>
          <w:i/>
          <w:spacing w:val="0"/>
          <w:lang w:val="en-GB"/>
        </w:rPr>
        <w:t xml:space="preserve">Industrial Management &amp; Data </w:t>
      </w:r>
      <w:r w:rsidR="00325AB7" w:rsidRPr="00325AB7">
        <w:rPr>
          <w:i/>
          <w:spacing w:val="0"/>
          <w:lang w:val="en-GB"/>
        </w:rPr>
        <w:t>Systems,</w:t>
      </w:r>
      <w:r w:rsidRPr="008B3CED">
        <w:rPr>
          <w:spacing w:val="0"/>
          <w:lang w:val="en-GB"/>
        </w:rPr>
        <w:t xml:space="preserve"> </w:t>
      </w:r>
      <w:r w:rsidRPr="008B3CED">
        <w:rPr>
          <w:i/>
          <w:spacing w:val="0"/>
          <w:lang w:val="en-GB"/>
        </w:rPr>
        <w:t>118</w:t>
      </w:r>
      <w:r w:rsidRPr="008B3CED">
        <w:rPr>
          <w:spacing w:val="0"/>
          <w:lang w:val="en-GB"/>
        </w:rPr>
        <w:t xml:space="preserve">(1), 236-261. </w:t>
      </w:r>
    </w:p>
    <w:p w14:paraId="5063359A" w14:textId="77777777" w:rsidR="00B372F7" w:rsidRPr="008B3CED" w:rsidRDefault="00B372F7" w:rsidP="008B3CED">
      <w:pPr>
        <w:pStyle w:val="Reference"/>
        <w:spacing w:line="247" w:lineRule="auto"/>
        <w:ind w:left="578" w:hanging="578"/>
        <w:rPr>
          <w:spacing w:val="-4"/>
          <w:lang w:val="en-GB"/>
        </w:rPr>
      </w:pPr>
      <w:r w:rsidRPr="008B3CED">
        <w:rPr>
          <w:spacing w:val="-4"/>
          <w:lang w:val="en-GB"/>
        </w:rPr>
        <w:t xml:space="preserve">Punniyamoorthy, M., Thamaraiselvan, N., &amp; Manikandan, L. (2013). Assessment of supply chain risk: Scale development and validation. </w:t>
      </w:r>
      <w:r w:rsidRPr="008B3CED">
        <w:rPr>
          <w:i/>
          <w:spacing w:val="-4"/>
          <w:lang w:val="en-GB"/>
        </w:rPr>
        <w:t>Benchmarking: An International Journal, 20</w:t>
      </w:r>
      <w:r w:rsidRPr="008B3CED">
        <w:rPr>
          <w:spacing w:val="-4"/>
          <w:lang w:val="en-GB"/>
        </w:rPr>
        <w:t xml:space="preserve">(1), 79-105. </w:t>
      </w:r>
      <w:hyperlink r:id="rId14" w:history="1"/>
    </w:p>
    <w:p w14:paraId="090C3C0D" w14:textId="77777777" w:rsidR="00B372F7" w:rsidRPr="008B3CED" w:rsidRDefault="00B372F7" w:rsidP="008B3CED">
      <w:pPr>
        <w:pStyle w:val="Reference"/>
        <w:spacing w:line="247" w:lineRule="auto"/>
        <w:ind w:left="578" w:hanging="578"/>
        <w:rPr>
          <w:spacing w:val="0"/>
        </w:rPr>
      </w:pPr>
      <w:r w:rsidRPr="008B3CED">
        <w:rPr>
          <w:spacing w:val="0"/>
          <w:lang w:val="en-GB"/>
        </w:rPr>
        <w:t xml:space="preserve">Queiroz, M. M., &amp; Pereira, S. C. F. (2019). Intention to adopt big data in supply chain management: A Brazilian perspective. </w:t>
      </w:r>
      <w:r w:rsidRPr="008B3CED">
        <w:rPr>
          <w:i/>
          <w:spacing w:val="0"/>
          <w:lang w:val="en-GB"/>
        </w:rPr>
        <w:t>Revista de Administração de Empresas; São Paulo, 59</w:t>
      </w:r>
      <w:r w:rsidRPr="008B3CED">
        <w:rPr>
          <w:spacing w:val="0"/>
          <w:lang w:val="en-GB"/>
        </w:rPr>
        <w:t xml:space="preserve">(6), 389-401. </w:t>
      </w:r>
    </w:p>
    <w:p w14:paraId="35686FCD"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Queiroz, M. M., &amp; Telles, R. (2018). Big data analytics in supply chain and logistics: An empirical approach. </w:t>
      </w:r>
      <w:r w:rsidRPr="008B3CED">
        <w:rPr>
          <w:i/>
          <w:spacing w:val="0"/>
          <w:lang w:val="en-GB"/>
        </w:rPr>
        <w:t>The International Journal of Logistics Management,</w:t>
      </w:r>
      <w:r w:rsidRPr="008B3CED">
        <w:rPr>
          <w:spacing w:val="0"/>
          <w:lang w:val="en-GB"/>
        </w:rPr>
        <w:t xml:space="preserve"> </w:t>
      </w:r>
      <w:r w:rsidRPr="008B3CED">
        <w:rPr>
          <w:i/>
          <w:spacing w:val="0"/>
          <w:lang w:val="en-GB"/>
        </w:rPr>
        <w:t>29</w:t>
      </w:r>
      <w:r w:rsidRPr="008B3CED">
        <w:rPr>
          <w:spacing w:val="0"/>
          <w:lang w:val="en-GB"/>
        </w:rPr>
        <w:t>(2), 767</w:t>
      </w:r>
      <w:r w:rsidRPr="008B3CED">
        <w:rPr>
          <w:spacing w:val="0"/>
        </w:rPr>
        <w:t>-</w:t>
      </w:r>
      <w:r w:rsidRPr="008B3CED">
        <w:rPr>
          <w:spacing w:val="0"/>
          <w:lang w:val="en-GB"/>
        </w:rPr>
        <w:t>783.</w:t>
      </w:r>
    </w:p>
    <w:p w14:paraId="0295E457"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Ritchie, B., &amp; Brindley, C. (2007). Supply chain risk management and performance: A guiding framework for future development. </w:t>
      </w:r>
      <w:r w:rsidRPr="008B3CED">
        <w:rPr>
          <w:i/>
          <w:spacing w:val="0"/>
          <w:lang w:val="en-GB"/>
        </w:rPr>
        <w:t>International Journal of Operations &amp; Production Management,</w:t>
      </w:r>
      <w:r w:rsidRPr="008B3CED">
        <w:rPr>
          <w:spacing w:val="0"/>
          <w:lang w:val="en-GB"/>
        </w:rPr>
        <w:t xml:space="preserve"> </w:t>
      </w:r>
      <w:r w:rsidRPr="008B3CED">
        <w:rPr>
          <w:i/>
          <w:spacing w:val="0"/>
          <w:lang w:val="en-GB"/>
        </w:rPr>
        <w:t>27</w:t>
      </w:r>
      <w:r w:rsidRPr="008B3CED">
        <w:rPr>
          <w:spacing w:val="0"/>
          <w:lang w:val="en-GB"/>
        </w:rPr>
        <w:t>(3), 303-322.</w:t>
      </w:r>
    </w:p>
    <w:p w14:paraId="4B65A16A"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Rogers, E. M. (1995). </w:t>
      </w:r>
      <w:r w:rsidRPr="008B3CED">
        <w:rPr>
          <w:i/>
          <w:spacing w:val="0"/>
          <w:lang w:val="en-GB"/>
        </w:rPr>
        <w:t>Diffusion of innovations</w:t>
      </w:r>
      <w:r w:rsidRPr="008B3CED">
        <w:rPr>
          <w:spacing w:val="0"/>
          <w:lang w:val="en-GB"/>
        </w:rPr>
        <w:t xml:space="preserve"> (4th </w:t>
      </w:r>
      <w:proofErr w:type="gramStart"/>
      <w:r w:rsidRPr="008B3CED">
        <w:rPr>
          <w:spacing w:val="0"/>
          <w:lang w:val="en-GB"/>
        </w:rPr>
        <w:t>ed</w:t>
      </w:r>
      <w:proofErr w:type="gramEnd"/>
      <w:r w:rsidRPr="008B3CED">
        <w:rPr>
          <w:spacing w:val="0"/>
          <w:lang w:val="en-GB"/>
        </w:rPr>
        <w:t>.). New York, NY: The Free Press.</w:t>
      </w:r>
    </w:p>
    <w:p w14:paraId="14EE481D" w14:textId="77777777" w:rsidR="00B372F7" w:rsidRPr="008B3CED" w:rsidRDefault="00B372F7" w:rsidP="008B3CED">
      <w:pPr>
        <w:pStyle w:val="Reference"/>
        <w:spacing w:line="247" w:lineRule="auto"/>
        <w:ind w:left="578" w:hanging="578"/>
        <w:rPr>
          <w:spacing w:val="0"/>
          <w:lang w:val="en-IN"/>
        </w:rPr>
      </w:pPr>
      <w:r w:rsidRPr="008B3CED">
        <w:rPr>
          <w:spacing w:val="0"/>
          <w:lang w:val="en-IN"/>
        </w:rPr>
        <w:t xml:space="preserve">Shahbaz, M. S., RM Rasi, R. Z., &amp; Ahmad, M. F. B. (2019). A novel classification of supply chain risks: Scale development and validation. </w:t>
      </w:r>
      <w:r w:rsidRPr="008B3CED">
        <w:rPr>
          <w:i/>
          <w:spacing w:val="0"/>
          <w:lang w:val="en-IN"/>
        </w:rPr>
        <w:t>Journal of Industrial Engineering and Management,</w:t>
      </w:r>
      <w:r w:rsidRPr="008B3CED">
        <w:rPr>
          <w:spacing w:val="0"/>
          <w:lang w:val="en-IN"/>
        </w:rPr>
        <w:t xml:space="preserve"> </w:t>
      </w:r>
      <w:r w:rsidRPr="008B3CED">
        <w:rPr>
          <w:i/>
          <w:spacing w:val="0"/>
          <w:lang w:val="en-IN"/>
        </w:rPr>
        <w:t>12</w:t>
      </w:r>
      <w:r w:rsidRPr="008B3CED">
        <w:rPr>
          <w:spacing w:val="0"/>
          <w:lang w:val="en-IN"/>
        </w:rPr>
        <w:t xml:space="preserve">(1), 201-218. </w:t>
      </w:r>
    </w:p>
    <w:p w14:paraId="14513A88" w14:textId="3EC7181E" w:rsidR="00B372F7" w:rsidRPr="008B3CED" w:rsidRDefault="00B372F7" w:rsidP="008B3CED">
      <w:pPr>
        <w:pStyle w:val="Reference"/>
        <w:spacing w:line="247" w:lineRule="auto"/>
        <w:ind w:left="578" w:hanging="578"/>
        <w:rPr>
          <w:spacing w:val="0"/>
          <w:lang w:val="en-IN"/>
        </w:rPr>
      </w:pPr>
      <w:r w:rsidRPr="008B3CED">
        <w:rPr>
          <w:spacing w:val="0"/>
          <w:lang w:val="en-IN"/>
        </w:rPr>
        <w:t xml:space="preserve">Singh, J. P., Dwivedi, Y. K., Rana, N. P., Kumar, A., &amp; Kapoor, K. K. (2019). Event classification and location prediction from tweets during disasters. </w:t>
      </w:r>
      <w:r w:rsidRPr="008B3CED">
        <w:rPr>
          <w:i/>
          <w:spacing w:val="0"/>
          <w:lang w:val="en-IN"/>
        </w:rPr>
        <w:t xml:space="preserve">Annals of Operations </w:t>
      </w:r>
      <w:bookmarkStart w:id="6" w:name="_GoBack"/>
      <w:bookmarkEnd w:id="6"/>
      <w:r w:rsidR="00325AB7" w:rsidRPr="00325AB7">
        <w:rPr>
          <w:i/>
          <w:spacing w:val="0"/>
          <w:lang w:val="en-IN"/>
        </w:rPr>
        <w:t xml:space="preserve">Research, </w:t>
      </w:r>
      <w:r w:rsidRPr="008B3CED">
        <w:rPr>
          <w:spacing w:val="0"/>
          <w:lang w:val="en-IN"/>
        </w:rPr>
        <w:t xml:space="preserve"> </w:t>
      </w:r>
      <w:r w:rsidRPr="008B3CED">
        <w:rPr>
          <w:i/>
          <w:spacing w:val="0"/>
          <w:lang w:val="en-IN"/>
        </w:rPr>
        <w:t>283</w:t>
      </w:r>
      <w:r w:rsidRPr="008B3CED">
        <w:rPr>
          <w:spacing w:val="0"/>
          <w:lang w:val="en-IN"/>
        </w:rPr>
        <w:t>(1/2), 737-757.</w:t>
      </w:r>
    </w:p>
    <w:p w14:paraId="0B3F3D84"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Snyder, L. V., Atan, Z., Peng, P., Rong, Y., Schmitt, A. J., &amp; Sinsoysal, B. (2016). OR/MS models for supply chain disruptions: A review. </w:t>
      </w:r>
      <w:r w:rsidRPr="008B3CED">
        <w:rPr>
          <w:i/>
          <w:spacing w:val="0"/>
          <w:lang w:val="en-GB"/>
        </w:rPr>
        <w:t>IIE Transactions, 48</w:t>
      </w:r>
      <w:r w:rsidRPr="008B3CED">
        <w:rPr>
          <w:spacing w:val="0"/>
          <w:lang w:val="en-GB"/>
        </w:rPr>
        <w:t>(2), 89</w:t>
      </w:r>
      <w:r w:rsidRPr="008B3CED">
        <w:rPr>
          <w:spacing w:val="0"/>
        </w:rPr>
        <w:t>-</w:t>
      </w:r>
      <w:r w:rsidRPr="008B3CED">
        <w:rPr>
          <w:spacing w:val="0"/>
          <w:lang w:val="en-GB"/>
        </w:rPr>
        <w:t>109.</w:t>
      </w:r>
    </w:p>
    <w:p w14:paraId="142796B8" w14:textId="77777777" w:rsidR="00B372F7" w:rsidRPr="008B3CED" w:rsidRDefault="00B372F7" w:rsidP="008B3CED">
      <w:pPr>
        <w:pStyle w:val="Reference"/>
        <w:spacing w:line="247" w:lineRule="auto"/>
        <w:ind w:left="578" w:hanging="578"/>
        <w:rPr>
          <w:spacing w:val="0"/>
        </w:rPr>
      </w:pPr>
      <w:r w:rsidRPr="008B3CED">
        <w:rPr>
          <w:spacing w:val="0"/>
          <w:lang w:val="en-GB"/>
        </w:rPr>
        <w:t xml:space="preserve">Sodhi, M. S., Son, B. G., &amp; Tang, C. S. (2012). Researchers’ perspectives on supply chain risk management: Perspectives on supply chain risk management. </w:t>
      </w:r>
      <w:r w:rsidRPr="008B3CED">
        <w:rPr>
          <w:i/>
          <w:spacing w:val="0"/>
          <w:lang w:val="en-GB"/>
        </w:rPr>
        <w:t>Production and Operations Management, 21</w:t>
      </w:r>
      <w:r w:rsidRPr="008B3CED">
        <w:rPr>
          <w:spacing w:val="0"/>
          <w:lang w:val="en-GB"/>
        </w:rPr>
        <w:t>(1), 1</w:t>
      </w:r>
      <w:r w:rsidRPr="008B3CED">
        <w:rPr>
          <w:spacing w:val="0"/>
        </w:rPr>
        <w:t>-</w:t>
      </w:r>
      <w:r w:rsidRPr="008B3CED">
        <w:rPr>
          <w:spacing w:val="0"/>
          <w:lang w:val="en-GB"/>
        </w:rPr>
        <w:t>13.</w:t>
      </w:r>
    </w:p>
    <w:p w14:paraId="4DCDD94D"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Tenenhaus, M., Vinzi, V. E., Chatelin, Y.-M., &amp; Lauro, C. (2005). PLS path modeling. </w:t>
      </w:r>
      <w:r w:rsidRPr="008B3CED">
        <w:rPr>
          <w:i/>
          <w:spacing w:val="0"/>
          <w:lang w:val="en-GB"/>
        </w:rPr>
        <w:t>Computational Statistics &amp; Data Analysis,</w:t>
      </w:r>
      <w:r w:rsidRPr="008B3CED">
        <w:rPr>
          <w:spacing w:val="0"/>
          <w:lang w:val="en-GB"/>
        </w:rPr>
        <w:t xml:space="preserve"> </w:t>
      </w:r>
      <w:r w:rsidRPr="008B3CED">
        <w:rPr>
          <w:i/>
          <w:spacing w:val="0"/>
          <w:lang w:val="en-GB"/>
        </w:rPr>
        <w:t>48</w:t>
      </w:r>
      <w:r w:rsidRPr="008B3CED">
        <w:rPr>
          <w:spacing w:val="0"/>
          <w:lang w:val="en-GB"/>
        </w:rPr>
        <w:t>(1), 159-205.</w:t>
      </w:r>
    </w:p>
    <w:p w14:paraId="6D162B3F"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Tornatzky, L., &amp; Fleischer, M. (1990). </w:t>
      </w:r>
      <w:r w:rsidRPr="008B3CED">
        <w:rPr>
          <w:i/>
          <w:spacing w:val="0"/>
          <w:lang w:val="en-GB"/>
        </w:rPr>
        <w:t>The process of technology innovation</w:t>
      </w:r>
      <w:r w:rsidRPr="008B3CED">
        <w:rPr>
          <w:spacing w:val="0"/>
          <w:lang w:val="en-GB"/>
        </w:rPr>
        <w:t>. Lexington: Lexington Books.</w:t>
      </w:r>
    </w:p>
    <w:p w14:paraId="06860CA5" w14:textId="77777777" w:rsidR="00B372F7" w:rsidRPr="008B3CED" w:rsidRDefault="00B372F7" w:rsidP="008B3CED">
      <w:pPr>
        <w:pStyle w:val="Reference"/>
        <w:spacing w:line="247" w:lineRule="auto"/>
        <w:ind w:left="578" w:hanging="578"/>
        <w:rPr>
          <w:spacing w:val="0"/>
          <w:lang w:val="en-GB"/>
        </w:rPr>
      </w:pPr>
      <w:r w:rsidRPr="008B3CED">
        <w:rPr>
          <w:spacing w:val="0"/>
          <w:lang w:val="en-GB"/>
        </w:rPr>
        <w:t xml:space="preserve">Ursachi, G., Horodnic, I. A., &amp; Zait, A. (2015). How reliable are measurement scales? External factors with indirect influence on reliability estimators. </w:t>
      </w:r>
      <w:r w:rsidRPr="008B3CED">
        <w:rPr>
          <w:i/>
          <w:spacing w:val="0"/>
          <w:lang w:val="en-GB"/>
        </w:rPr>
        <w:t>Procedia Economics and Finance,</w:t>
      </w:r>
      <w:r w:rsidRPr="008B3CED">
        <w:rPr>
          <w:spacing w:val="0"/>
          <w:lang w:val="en-GB"/>
        </w:rPr>
        <w:t xml:space="preserve"> </w:t>
      </w:r>
      <w:r w:rsidRPr="008B3CED">
        <w:rPr>
          <w:i/>
          <w:spacing w:val="0"/>
          <w:lang w:val="en-GB"/>
        </w:rPr>
        <w:t>20</w:t>
      </w:r>
      <w:r w:rsidRPr="008B3CED">
        <w:rPr>
          <w:spacing w:val="0"/>
          <w:lang w:val="en-GB"/>
        </w:rPr>
        <w:t>(7), 679</w:t>
      </w:r>
      <w:r w:rsidRPr="008B3CED">
        <w:rPr>
          <w:spacing w:val="0"/>
        </w:rPr>
        <w:t>-</w:t>
      </w:r>
      <w:r w:rsidRPr="008B3CED">
        <w:rPr>
          <w:spacing w:val="0"/>
          <w:lang w:val="en-GB"/>
        </w:rPr>
        <w:t>686.</w:t>
      </w:r>
    </w:p>
    <w:p w14:paraId="5F9FDA0D" w14:textId="77777777" w:rsidR="00B372F7" w:rsidRPr="008B3CED" w:rsidRDefault="00B372F7" w:rsidP="008B3CED">
      <w:pPr>
        <w:pStyle w:val="Reference"/>
        <w:spacing w:line="247" w:lineRule="auto"/>
        <w:ind w:left="578" w:hanging="578"/>
        <w:rPr>
          <w:spacing w:val="0"/>
        </w:rPr>
      </w:pPr>
      <w:r w:rsidRPr="008B3CED">
        <w:rPr>
          <w:spacing w:val="0"/>
        </w:rPr>
        <w:t>Zhang, D., Mishra, S., Brynjolfsson, E., Etchemendy, J., Ganguli, D., Grosz, B</w:t>
      </w:r>
      <w:proofErr w:type="gramStart"/>
      <w:r w:rsidRPr="008B3CED">
        <w:rPr>
          <w:spacing w:val="0"/>
        </w:rPr>
        <w:t>., …</w:t>
      </w:r>
      <w:proofErr w:type="gramEnd"/>
      <w:r w:rsidRPr="008B3CED">
        <w:rPr>
          <w:spacing w:val="0"/>
        </w:rPr>
        <w:t xml:space="preserve"> Perrault, R. (2021). </w:t>
      </w:r>
      <w:r w:rsidRPr="008B3CED">
        <w:rPr>
          <w:i/>
          <w:spacing w:val="0"/>
        </w:rPr>
        <w:t>The AI Index 2021 Annual Report</w:t>
      </w:r>
      <w:r w:rsidRPr="008B3CED">
        <w:rPr>
          <w:spacing w:val="0"/>
        </w:rPr>
        <w:t xml:space="preserve">. Stanford, CA: AI Index Steering Committee, Human-Centered AI Institute, Stanford University. </w:t>
      </w:r>
    </w:p>
    <w:p w14:paraId="493ECB1E" w14:textId="77777777" w:rsidR="008B3CED" w:rsidRDefault="008B3CED" w:rsidP="008B3CED">
      <w:pPr>
        <w:pBdr>
          <w:bottom w:val="single" w:sz="4" w:space="1" w:color="auto"/>
        </w:pBdr>
        <w:shd w:val="clear" w:color="auto" w:fill="FFFFFF"/>
        <w:autoSpaceDE/>
        <w:autoSpaceDN/>
        <w:spacing w:before="240"/>
        <w:rPr>
          <w:sz w:val="20"/>
          <w:szCs w:val="20"/>
        </w:rPr>
      </w:pPr>
    </w:p>
    <w:p w14:paraId="46E37F6E" w14:textId="77777777" w:rsidR="00A43F4A" w:rsidRPr="00727AB8" w:rsidRDefault="00A43F4A" w:rsidP="008B3CED">
      <w:pPr>
        <w:shd w:val="clear" w:color="auto" w:fill="FFFFFF"/>
        <w:autoSpaceDE/>
        <w:autoSpaceDN/>
        <w:spacing w:before="60"/>
        <w:rPr>
          <w:sz w:val="20"/>
          <w:szCs w:val="20"/>
        </w:rPr>
      </w:pPr>
      <w:r w:rsidRPr="00727AB8">
        <w:rPr>
          <w:noProof/>
          <w:sz w:val="20"/>
          <w:szCs w:val="20"/>
        </w:rPr>
        <w:drawing>
          <wp:inline distT="0" distB="0" distL="0" distR="0" wp14:anchorId="680A4878" wp14:editId="6D8B0AEB">
            <wp:extent cx="990600" cy="350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209C6A57" w14:textId="77777777" w:rsidR="00A43F4A" w:rsidRPr="00727AB8" w:rsidRDefault="00A43F4A" w:rsidP="008B3CED">
      <w:pPr>
        <w:shd w:val="clear" w:color="auto" w:fill="FFFFFF"/>
        <w:autoSpaceDE/>
        <w:autoSpaceDN/>
        <w:spacing w:before="60"/>
        <w:rPr>
          <w:rStyle w:val="Hyperlink"/>
          <w:color w:val="auto"/>
          <w:u w:val="none"/>
        </w:rPr>
      </w:pPr>
      <w:r w:rsidRPr="00727AB8">
        <w:rPr>
          <w:sz w:val="20"/>
          <w:szCs w:val="20"/>
        </w:rPr>
        <w:t>Creative Commons Attribution-NonCommercial 4.0 International License.</w:t>
      </w:r>
    </w:p>
    <w:sectPr w:rsidR="00A43F4A" w:rsidRPr="00727AB8" w:rsidSect="00322A24">
      <w:headerReference w:type="even" r:id="rId16"/>
      <w:headerReference w:type="default" r:id="rId17"/>
      <w:pgSz w:w="11624" w:h="16443" w:code="1"/>
      <w:pgMar w:top="851" w:right="1134" w:bottom="851" w:left="1134" w:header="720" w:footer="720" w:gutter="0"/>
      <w:pgNumType w:start="29"/>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5B6EE" w16cid:durableId="2605A84C"/>
  <w16cid:commentId w16cid:paraId="161974C6" w16cid:durableId="260110B7"/>
  <w16cid:commentId w16cid:paraId="2F44F4B6" w16cid:durableId="2605B08E"/>
  <w16cid:commentId w16cid:paraId="79CD017D" w16cid:durableId="260110B8"/>
  <w16cid:commentId w16cid:paraId="3524F158" w16cid:durableId="2605B47F"/>
  <w16cid:commentId w16cid:paraId="45FC0910" w16cid:durableId="2605B50B"/>
  <w16cid:commentId w16cid:paraId="587347EC" w16cid:durableId="260110BA"/>
  <w16cid:commentId w16cid:paraId="09C9A2AE" w16cid:durableId="2606CAC5"/>
  <w16cid:commentId w16cid:paraId="3F65F824" w16cid:durableId="260110BB"/>
  <w16cid:commentId w16cid:paraId="434034D0" w16cid:durableId="2606CADD"/>
  <w16cid:commentId w16cid:paraId="2F98D2F1" w16cid:durableId="260110BC"/>
  <w16cid:commentId w16cid:paraId="26ED9375" w16cid:durableId="2606CAFE"/>
  <w16cid:commentId w16cid:paraId="1B334803" w16cid:durableId="260110BD"/>
  <w16cid:commentId w16cid:paraId="059E12D0" w16cid:durableId="2606CB17"/>
  <w16cid:commentId w16cid:paraId="4AE89EDE" w16cid:durableId="260110BE"/>
  <w16cid:commentId w16cid:paraId="4444FCA5" w16cid:durableId="2606CB44"/>
  <w16cid:commentId w16cid:paraId="01072BFB" w16cid:durableId="260110BF"/>
  <w16cid:commentId w16cid:paraId="79867BDE" w16cid:durableId="2606CB68"/>
  <w16cid:commentId w16cid:paraId="425DFB25" w16cid:durableId="260110C0"/>
  <w16cid:commentId w16cid:paraId="0A328932" w16cid:durableId="2606CB78"/>
  <w16cid:commentId w16cid:paraId="5321690B" w16cid:durableId="260110C1"/>
  <w16cid:commentId w16cid:paraId="1E72CF71" w16cid:durableId="2606CB94"/>
  <w16cid:commentId w16cid:paraId="0CA955C1" w16cid:durableId="260110C2"/>
  <w16cid:commentId w16cid:paraId="60D78C86" w16cid:durableId="2606CBA8"/>
  <w16cid:commentId w16cid:paraId="31386D9F" w16cid:durableId="260110C3"/>
  <w16cid:commentId w16cid:paraId="5901FE92" w16cid:durableId="2606CBD0"/>
  <w16cid:commentId w16cid:paraId="7030E4D0" w16cid:durableId="2606CF13"/>
  <w16cid:commentId w16cid:paraId="023B6338" w16cid:durableId="2606D32B"/>
  <w16cid:commentId w16cid:paraId="4A82F961" w16cid:durableId="260110C6"/>
  <w16cid:commentId w16cid:paraId="15E94FA1" w16cid:durableId="2606D65C"/>
  <w16cid:commentId w16cid:paraId="722F48D5" w16cid:durableId="2606D7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7E0C7" w14:textId="77777777" w:rsidR="00333E70" w:rsidRDefault="00333E70" w:rsidP="0064607F">
      <w:r>
        <w:separator/>
      </w:r>
    </w:p>
  </w:endnote>
  <w:endnote w:type="continuationSeparator" w:id="0">
    <w:p w14:paraId="3F1A2E4E" w14:textId="77777777" w:rsidR="00333E70" w:rsidRDefault="00333E70"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3" w:usb1="00000000" w:usb2="00000000" w:usb3="00000000" w:csb0="00000001" w:csb1="00000000"/>
  </w:font>
  <w:font w:name="VNI-Centur">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TM Aptima">
    <w:panose1 w:val="02040603050506020204"/>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AvantGarde">
    <w:panose1 w:val="00000400000000000000"/>
    <w:charset w:val="00"/>
    <w:family w:val="auto"/>
    <w:pitch w:val="variable"/>
    <w:sig w:usb0="20000087" w:usb1="00000000" w:usb2="00000000" w:usb3="00000000" w:csb0="000001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DAC30" w14:textId="77777777" w:rsidR="00333E70" w:rsidRDefault="00333E70" w:rsidP="0064607F">
      <w:r>
        <w:separator/>
      </w:r>
    </w:p>
  </w:footnote>
  <w:footnote w:type="continuationSeparator" w:id="0">
    <w:p w14:paraId="46E2624B" w14:textId="77777777" w:rsidR="00333E70" w:rsidRDefault="00333E70"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098EC" w14:textId="77777777" w:rsidR="00727AB8" w:rsidRDefault="00727AB8" w:rsidP="00727AB8">
    <w:pPr>
      <w:pStyle w:val="Header"/>
      <w:pBdr>
        <w:bottom w:val="single" w:sz="8" w:space="1" w:color="auto"/>
      </w:pBdr>
      <w:tabs>
        <w:tab w:val="clear" w:pos="4680"/>
        <w:tab w:val="left" w:pos="1843"/>
      </w:tabs>
      <w:rPr>
        <w:rFonts w:ascii="AvantGarde" w:hAnsi="AvantGarde"/>
        <w:sz w:val="20"/>
        <w:szCs w:val="20"/>
      </w:rPr>
    </w:pPr>
  </w:p>
  <w:p w14:paraId="41591D3A" w14:textId="3C4FB08A" w:rsidR="00727AB8" w:rsidRPr="00EC2EE3" w:rsidRDefault="00727AB8" w:rsidP="00322A24">
    <w:pPr>
      <w:pStyle w:val="Header"/>
      <w:pBdr>
        <w:bottom w:val="single" w:sz="8" w:space="1" w:color="auto"/>
      </w:pBdr>
      <w:tabs>
        <w:tab w:val="clear" w:pos="4680"/>
        <w:tab w:val="left" w:pos="1843"/>
      </w:tabs>
      <w:spacing w:after="260" w:line="264" w:lineRule="auto"/>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325AB7">
      <w:rPr>
        <w:rFonts w:ascii="AvantGarde" w:hAnsi="AvantGarde"/>
        <w:noProof/>
        <w:sz w:val="20"/>
        <w:szCs w:val="20"/>
      </w:rPr>
      <w:t>24</w:t>
    </w:r>
    <w:r w:rsidRPr="00FA00D3">
      <w:rPr>
        <w:rFonts w:ascii="AvantGarde" w:hAnsi="AvantGarde"/>
        <w:noProof/>
        <w:sz w:val="20"/>
        <w:szCs w:val="20"/>
      </w:rPr>
      <w:fldChar w:fldCharType="end"/>
    </w:r>
    <w:r>
      <w:rPr>
        <w:rFonts w:ascii="AvantGarde" w:hAnsi="AvantGarde"/>
        <w:noProof/>
        <w:sz w:val="20"/>
        <w:szCs w:val="20"/>
      </w:rPr>
      <w:t xml:space="preserve">         </w:t>
    </w:r>
    <w:r w:rsidR="008B3CED">
      <w:rPr>
        <w:rFonts w:ascii="AvantGarde" w:hAnsi="AvantGarde"/>
        <w:noProof/>
        <w:sz w:val="20"/>
        <w:szCs w:val="20"/>
      </w:rPr>
      <w:t xml:space="preserve">  </w:t>
    </w:r>
    <w:r>
      <w:rPr>
        <w:rFonts w:ascii="UTM Aptima" w:hAnsi="UTM Aptima"/>
        <w:sz w:val="20"/>
        <w:szCs w:val="20"/>
        <w:lang w:val="fr-FR"/>
      </w:rPr>
      <w:t xml:space="preserve">Paul </w:t>
    </w:r>
    <w:r w:rsidRPr="00DF258B">
      <w:rPr>
        <w:rFonts w:ascii="UTM Aptima" w:hAnsi="UTM Aptima"/>
        <w:sz w:val="20"/>
        <w:szCs w:val="20"/>
        <w:lang w:val="fr-FR"/>
      </w:rPr>
      <w:t>Souma</w:t>
    </w:r>
    <w:r w:rsidRPr="00B924A2">
      <w:rPr>
        <w:rFonts w:ascii="UTM Aptima" w:hAnsi="UTM Aptima"/>
        <w:sz w:val="20"/>
        <w:szCs w:val="20"/>
        <w:lang w:val="fr-FR"/>
      </w:rPr>
      <w:t xml:space="preserve"> Kanti</w:t>
    </w:r>
    <w:r>
      <w:rPr>
        <w:rFonts w:ascii="UTM Aptima" w:hAnsi="UTM Aptima"/>
        <w:sz w:val="20"/>
        <w:szCs w:val="20"/>
        <w:lang w:val="fr-FR"/>
      </w:rPr>
      <w:t xml:space="preserve"> et al</w:t>
    </w:r>
    <w:r w:rsidRPr="00FA00D3">
      <w:rPr>
        <w:rStyle w:val="HeaderArticleChar"/>
        <w:spacing w:val="-4"/>
        <w:sz w:val="21"/>
      </w:rPr>
      <w:t xml:space="preserve">. </w:t>
    </w:r>
    <w:r>
      <w:rPr>
        <w:rStyle w:val="HeaderArticleChar"/>
        <w:i/>
        <w:sz w:val="21"/>
      </w:rPr>
      <w:t>HCMCOUJS-</w:t>
    </w:r>
    <w:r w:rsidRPr="00ED43F1">
      <w:rPr>
        <w:rStyle w:val="HeaderArticleChar"/>
        <w:i/>
        <w:sz w:val="21"/>
      </w:rPr>
      <w:t>Economics and Business Administration</w:t>
    </w:r>
    <w:r w:rsidRPr="00FA00D3">
      <w:rPr>
        <w:rFonts w:ascii="UTM Aptima" w:hAnsi="UTM Aptima"/>
        <w:i/>
        <w:spacing w:val="-4"/>
        <w:sz w:val="21"/>
        <w:szCs w:val="21"/>
        <w:lang w:val="fr-FR"/>
      </w:rPr>
      <w:t xml:space="preserve">, </w:t>
    </w:r>
    <w:r>
      <w:rPr>
        <w:rFonts w:ascii="UTM Aptima" w:hAnsi="UTM Aptima"/>
        <w:i/>
        <w:spacing w:val="-4"/>
        <w:sz w:val="21"/>
        <w:szCs w:val="21"/>
        <w:lang w:val="fr-FR"/>
      </w:rPr>
      <w:t>12</w:t>
    </w:r>
    <w:r w:rsidRPr="00FA00D3">
      <w:rPr>
        <w:rFonts w:ascii="UTM Aptima" w:hAnsi="UTM Aptima"/>
        <w:spacing w:val="-4"/>
        <w:sz w:val="21"/>
        <w:szCs w:val="21"/>
        <w:lang w:val="fr-FR"/>
      </w:rPr>
      <w:t>(</w:t>
    </w:r>
    <w:r>
      <w:rPr>
        <w:rFonts w:ascii="UTM Aptima" w:hAnsi="UTM Aptima"/>
        <w:spacing w:val="-4"/>
        <w:sz w:val="21"/>
        <w:szCs w:val="21"/>
        <w:lang w:val="fr-FR"/>
      </w:rPr>
      <w:t>2</w:t>
    </w:r>
    <w:r w:rsidRPr="00FA00D3">
      <w:rPr>
        <w:rFonts w:ascii="UTM Aptima" w:hAnsi="UTM Aptima"/>
        <w:spacing w:val="-4"/>
        <w:sz w:val="21"/>
        <w:szCs w:val="21"/>
        <w:lang w:val="fr-FR"/>
      </w:rPr>
      <w:t xml:space="preserve">), </w:t>
    </w:r>
    <w:r>
      <w:rPr>
        <w:rFonts w:ascii="UTM Aptima" w:hAnsi="UTM Aptima"/>
        <w:spacing w:val="-4"/>
        <w:sz w:val="21"/>
        <w:szCs w:val="21"/>
        <w:lang w:val="fr-FR"/>
      </w:rPr>
      <w:t>15-32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7BE5" w14:textId="77777777" w:rsidR="00727AB8" w:rsidRPr="00727AB8" w:rsidRDefault="00727AB8" w:rsidP="00727AB8">
    <w:pPr>
      <w:pStyle w:val="Header"/>
      <w:pBdr>
        <w:bottom w:val="single" w:sz="8" w:space="1" w:color="auto"/>
      </w:pBdr>
      <w:tabs>
        <w:tab w:val="clear" w:pos="4680"/>
        <w:tab w:val="clear" w:pos="9360"/>
        <w:tab w:val="center" w:pos="4395"/>
        <w:tab w:val="right" w:pos="9356"/>
      </w:tabs>
      <w:rPr>
        <w:rFonts w:ascii="AvantGarde" w:hAnsi="AvantGarde"/>
        <w:sz w:val="20"/>
        <w:szCs w:val="20"/>
        <w:lang w:val="fr-FR"/>
      </w:rPr>
    </w:pPr>
    <w:r w:rsidRPr="00727AB8">
      <w:rPr>
        <w:rFonts w:ascii="AvantGarde" w:hAnsi="AvantGarde"/>
        <w:sz w:val="20"/>
        <w:szCs w:val="20"/>
        <w:lang w:val="fr-FR"/>
      </w:rPr>
      <w:tab/>
    </w:r>
  </w:p>
  <w:p w14:paraId="5E2522BE" w14:textId="62CD74D5" w:rsidR="00727AB8" w:rsidRPr="00AB2A1B" w:rsidRDefault="00727AB8" w:rsidP="00EB7810">
    <w:pPr>
      <w:pStyle w:val="Header"/>
      <w:pBdr>
        <w:bottom w:val="single" w:sz="8" w:space="1" w:color="auto"/>
      </w:pBdr>
      <w:tabs>
        <w:tab w:val="clear" w:pos="4680"/>
        <w:tab w:val="clear" w:pos="9360"/>
        <w:tab w:val="center" w:pos="4395"/>
        <w:tab w:val="right" w:pos="9356"/>
      </w:tabs>
      <w:spacing w:after="260" w:line="264" w:lineRule="auto"/>
      <w:rPr>
        <w:rFonts w:ascii="UTM Aptima" w:hAnsi="UTM Aptima"/>
        <w:sz w:val="20"/>
        <w:szCs w:val="20"/>
        <w:lang w:val="fr-FR"/>
      </w:rPr>
    </w:pPr>
    <w:r>
      <w:rPr>
        <w:rFonts w:ascii="UTM Aptima" w:hAnsi="UTM Aptima"/>
        <w:sz w:val="20"/>
        <w:szCs w:val="20"/>
        <w:lang w:val="fr-FR"/>
      </w:rPr>
      <w:tab/>
      <w:t xml:space="preserve">Paul </w:t>
    </w:r>
    <w:r w:rsidRPr="00DF258B">
      <w:rPr>
        <w:rFonts w:ascii="UTM Aptima" w:hAnsi="UTM Aptima"/>
        <w:sz w:val="20"/>
        <w:szCs w:val="20"/>
        <w:lang w:val="fr-FR"/>
      </w:rPr>
      <w:t>Souma</w:t>
    </w:r>
    <w:r w:rsidRPr="00B924A2">
      <w:rPr>
        <w:rFonts w:ascii="UTM Aptima" w:hAnsi="UTM Aptima"/>
        <w:sz w:val="20"/>
        <w:szCs w:val="20"/>
        <w:lang w:val="fr-FR"/>
      </w:rPr>
      <w:t xml:space="preserve"> Kanti</w:t>
    </w:r>
    <w:r>
      <w:rPr>
        <w:rFonts w:ascii="UTM Aptima" w:hAnsi="UTM Aptima"/>
        <w:sz w:val="20"/>
        <w:szCs w:val="20"/>
        <w:lang w:val="fr-FR"/>
      </w:rPr>
      <w:t xml:space="preserve"> et al</w:t>
    </w:r>
    <w:r w:rsidRPr="00FA00D3">
      <w:rPr>
        <w:rStyle w:val="HeaderArticleChar"/>
        <w:spacing w:val="-4"/>
        <w:sz w:val="21"/>
      </w:rPr>
      <w:t xml:space="preserve">. </w:t>
    </w:r>
    <w:r>
      <w:rPr>
        <w:rStyle w:val="HeaderArticleChar"/>
        <w:i/>
        <w:sz w:val="21"/>
      </w:rPr>
      <w:t>HCMCOUJS-</w:t>
    </w:r>
    <w:r w:rsidRPr="00ED43F1">
      <w:rPr>
        <w:rStyle w:val="HeaderArticleChar"/>
        <w:i/>
        <w:sz w:val="21"/>
      </w:rPr>
      <w:t>Economics and Business Administration</w:t>
    </w:r>
    <w:r w:rsidRPr="00FA00D3">
      <w:rPr>
        <w:rFonts w:ascii="UTM Aptima" w:hAnsi="UTM Aptima"/>
        <w:i/>
        <w:spacing w:val="-4"/>
        <w:sz w:val="21"/>
        <w:szCs w:val="21"/>
        <w:lang w:val="fr-FR"/>
      </w:rPr>
      <w:t xml:space="preserve">, </w:t>
    </w:r>
    <w:r>
      <w:rPr>
        <w:rFonts w:ascii="UTM Aptima" w:hAnsi="UTM Aptima"/>
        <w:i/>
        <w:spacing w:val="-4"/>
        <w:sz w:val="21"/>
        <w:szCs w:val="21"/>
        <w:lang w:val="fr-FR"/>
      </w:rPr>
      <w:t>12</w:t>
    </w:r>
    <w:r w:rsidRPr="00FA00D3">
      <w:rPr>
        <w:rFonts w:ascii="UTM Aptima" w:hAnsi="UTM Aptima"/>
        <w:spacing w:val="-4"/>
        <w:sz w:val="21"/>
        <w:szCs w:val="21"/>
        <w:lang w:val="fr-FR"/>
      </w:rPr>
      <w:t>(</w:t>
    </w:r>
    <w:r>
      <w:rPr>
        <w:rFonts w:ascii="UTM Aptima" w:hAnsi="UTM Aptima"/>
        <w:spacing w:val="-4"/>
        <w:sz w:val="21"/>
        <w:szCs w:val="21"/>
        <w:lang w:val="fr-FR"/>
      </w:rPr>
      <w:t>2</w:t>
    </w:r>
    <w:r w:rsidRPr="00FA00D3">
      <w:rPr>
        <w:rFonts w:ascii="UTM Aptima" w:hAnsi="UTM Aptima"/>
        <w:spacing w:val="-4"/>
        <w:sz w:val="21"/>
        <w:szCs w:val="21"/>
        <w:lang w:val="fr-FR"/>
      </w:rPr>
      <w:t xml:space="preserve">), </w:t>
    </w:r>
    <w:r>
      <w:rPr>
        <w:rFonts w:ascii="UTM Aptima" w:hAnsi="UTM Aptima"/>
        <w:spacing w:val="-4"/>
        <w:sz w:val="21"/>
        <w:szCs w:val="21"/>
        <w:lang w:val="fr-FR"/>
      </w:rPr>
      <w:t>15-32</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325AB7">
      <w:rPr>
        <w:rFonts w:ascii="AvantGarde" w:hAnsi="AvantGarde"/>
        <w:noProof/>
        <w:sz w:val="20"/>
        <w:szCs w:val="20"/>
        <w:lang w:val="fr-FR"/>
      </w:rPr>
      <w:t>23</w:t>
    </w:r>
    <w:r w:rsidRPr="00FA00D3">
      <w:rPr>
        <w:rFonts w:ascii="AvantGarde" w:hAnsi="AvantGarde"/>
        <w:noProof/>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72A46" w14:textId="77777777" w:rsidR="008B3CED" w:rsidRDefault="008B3CED" w:rsidP="008B3CED">
    <w:pPr>
      <w:pStyle w:val="Header"/>
      <w:pBdr>
        <w:bottom w:val="single" w:sz="8" w:space="1" w:color="auto"/>
      </w:pBdr>
      <w:tabs>
        <w:tab w:val="clear" w:pos="4680"/>
        <w:tab w:val="left" w:pos="1843"/>
      </w:tabs>
      <w:rPr>
        <w:rFonts w:ascii="AvantGarde" w:hAnsi="AvantGarde"/>
        <w:sz w:val="20"/>
        <w:szCs w:val="20"/>
      </w:rPr>
    </w:pPr>
  </w:p>
  <w:p w14:paraId="5B766AD6" w14:textId="5E05633D" w:rsidR="00727AB8" w:rsidRPr="008B3CED" w:rsidRDefault="00727AB8" w:rsidP="008B3CED">
    <w:pPr>
      <w:pStyle w:val="Header"/>
      <w:pBdr>
        <w:bottom w:val="single" w:sz="8" w:space="1" w:color="auto"/>
      </w:pBdr>
      <w:tabs>
        <w:tab w:val="clear" w:pos="4680"/>
        <w:tab w:val="clear" w:pos="9360"/>
        <w:tab w:val="center" w:pos="7371"/>
      </w:tabs>
      <w:spacing w:after="260" w:line="264" w:lineRule="auto"/>
      <w:rPr>
        <w:rFonts w:ascii="AvantGarde" w:hAnsi="AvantGarde"/>
        <w:sz w:val="21"/>
        <w:szCs w:val="21"/>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325AB7">
      <w:rPr>
        <w:rFonts w:ascii="AvantGarde" w:hAnsi="AvantGarde"/>
        <w:noProof/>
        <w:sz w:val="20"/>
        <w:szCs w:val="20"/>
      </w:rPr>
      <w:t>28</w:t>
    </w:r>
    <w:r w:rsidRPr="00FA00D3">
      <w:rPr>
        <w:rFonts w:ascii="AvantGarde" w:hAnsi="AvantGarde"/>
        <w:noProof/>
        <w:sz w:val="20"/>
        <w:szCs w:val="20"/>
      </w:rPr>
      <w:fldChar w:fldCharType="end"/>
    </w:r>
    <w:r>
      <w:rPr>
        <w:rFonts w:ascii="AvantGarde" w:hAnsi="AvantGarde"/>
        <w:noProof/>
        <w:sz w:val="20"/>
        <w:szCs w:val="20"/>
      </w:rPr>
      <w:t xml:space="preserve">   </w:t>
    </w:r>
    <w:r w:rsidR="008B3CED">
      <w:rPr>
        <w:rFonts w:ascii="AvantGarde" w:hAnsi="AvantGarde"/>
        <w:noProof/>
        <w:sz w:val="20"/>
        <w:szCs w:val="20"/>
      </w:rPr>
      <w:tab/>
    </w:r>
    <w:r w:rsidRPr="008B3CED">
      <w:rPr>
        <w:rFonts w:ascii="UTM Aptima" w:hAnsi="UTM Aptima"/>
        <w:sz w:val="21"/>
        <w:szCs w:val="21"/>
        <w:lang w:val="fr-FR"/>
      </w:rPr>
      <w:t>Paul Souma Kanti et al</w:t>
    </w:r>
    <w:r w:rsidRPr="008B3CED">
      <w:rPr>
        <w:rStyle w:val="HeaderArticleChar"/>
        <w:spacing w:val="0"/>
        <w:sz w:val="21"/>
      </w:rPr>
      <w:t xml:space="preserve">. </w:t>
    </w:r>
    <w:r w:rsidRPr="008B3CED">
      <w:rPr>
        <w:rStyle w:val="HeaderArticleChar"/>
        <w:i/>
        <w:spacing w:val="0"/>
        <w:sz w:val="21"/>
      </w:rPr>
      <w:t>HCMCOUJS-Economics and Business Administration</w:t>
    </w:r>
    <w:r w:rsidRPr="008B3CED">
      <w:rPr>
        <w:rFonts w:ascii="UTM Aptima" w:hAnsi="UTM Aptima"/>
        <w:i/>
        <w:sz w:val="21"/>
        <w:szCs w:val="21"/>
        <w:lang w:val="fr-FR"/>
      </w:rPr>
      <w:t>, 12</w:t>
    </w:r>
    <w:r w:rsidRPr="008B3CED">
      <w:rPr>
        <w:rFonts w:ascii="UTM Aptima" w:hAnsi="UTM Aptima"/>
        <w:sz w:val="21"/>
        <w:szCs w:val="21"/>
        <w:lang w:val="fr-FR"/>
      </w:rPr>
      <w:t>(2), 15-32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294F" w14:textId="77777777" w:rsidR="008B3CED" w:rsidRPr="008B3CED" w:rsidRDefault="008B3CED" w:rsidP="008B3CED">
    <w:pPr>
      <w:pStyle w:val="Header"/>
      <w:pBdr>
        <w:bottom w:val="single" w:sz="8" w:space="1" w:color="auto"/>
      </w:pBdr>
      <w:tabs>
        <w:tab w:val="clear" w:pos="4680"/>
        <w:tab w:val="clear" w:pos="9360"/>
        <w:tab w:val="center" w:pos="7230"/>
        <w:tab w:val="right" w:pos="14175"/>
      </w:tabs>
      <w:rPr>
        <w:rFonts w:ascii="AvantGarde" w:hAnsi="AvantGarde"/>
        <w:sz w:val="20"/>
        <w:szCs w:val="20"/>
        <w:lang w:val="fr-FR"/>
      </w:rPr>
    </w:pPr>
  </w:p>
  <w:p w14:paraId="392214B1" w14:textId="507AA073" w:rsidR="00727AB8" w:rsidRPr="00AB2A1B" w:rsidRDefault="008B3CED" w:rsidP="008B3CED">
    <w:pPr>
      <w:pStyle w:val="Header"/>
      <w:pBdr>
        <w:bottom w:val="single" w:sz="8" w:space="1" w:color="auto"/>
      </w:pBdr>
      <w:tabs>
        <w:tab w:val="clear" w:pos="4680"/>
        <w:tab w:val="clear" w:pos="9360"/>
        <w:tab w:val="center" w:pos="7230"/>
        <w:tab w:val="right" w:pos="14175"/>
      </w:tabs>
      <w:spacing w:after="260" w:line="264" w:lineRule="auto"/>
      <w:rPr>
        <w:rFonts w:ascii="UTM Aptima" w:hAnsi="UTM Aptima"/>
        <w:sz w:val="20"/>
        <w:szCs w:val="20"/>
        <w:lang w:val="fr-FR"/>
      </w:rPr>
    </w:pPr>
    <w:r>
      <w:rPr>
        <w:rFonts w:ascii="UTM Aptima" w:hAnsi="UTM Aptima"/>
        <w:sz w:val="20"/>
        <w:szCs w:val="20"/>
        <w:lang w:val="fr-FR"/>
      </w:rPr>
      <w:tab/>
    </w:r>
    <w:r w:rsidR="00727AB8" w:rsidRPr="008B3CED">
      <w:rPr>
        <w:rFonts w:ascii="UTM Aptima" w:hAnsi="UTM Aptima"/>
        <w:sz w:val="21"/>
        <w:szCs w:val="21"/>
        <w:lang w:val="fr-FR"/>
      </w:rPr>
      <w:t>Paul Souma Kanti et al</w:t>
    </w:r>
    <w:r w:rsidR="00727AB8" w:rsidRPr="008B3CED">
      <w:rPr>
        <w:rStyle w:val="HeaderArticleChar"/>
        <w:spacing w:val="0"/>
        <w:sz w:val="21"/>
      </w:rPr>
      <w:t xml:space="preserve">. </w:t>
    </w:r>
    <w:r w:rsidR="00727AB8" w:rsidRPr="008B3CED">
      <w:rPr>
        <w:rStyle w:val="HeaderArticleChar"/>
        <w:i/>
        <w:spacing w:val="0"/>
        <w:sz w:val="21"/>
      </w:rPr>
      <w:t>HCMCOUJS-Economics and Business Administration</w:t>
    </w:r>
    <w:r w:rsidR="00727AB8" w:rsidRPr="008B3CED">
      <w:rPr>
        <w:rFonts w:ascii="UTM Aptima" w:hAnsi="UTM Aptima"/>
        <w:i/>
        <w:sz w:val="21"/>
        <w:szCs w:val="21"/>
        <w:lang w:val="fr-FR"/>
      </w:rPr>
      <w:t>, 12</w:t>
    </w:r>
    <w:r w:rsidR="00727AB8" w:rsidRPr="008B3CED">
      <w:rPr>
        <w:rFonts w:ascii="UTM Aptima" w:hAnsi="UTM Aptima"/>
        <w:sz w:val="21"/>
        <w:szCs w:val="21"/>
        <w:lang w:val="fr-FR"/>
      </w:rPr>
      <w:t>(2), 15-32</w:t>
    </w:r>
    <w:r w:rsidR="00727AB8">
      <w:rPr>
        <w:rFonts w:ascii="AvantGarde" w:hAnsi="AvantGarde"/>
        <w:sz w:val="19"/>
        <w:szCs w:val="19"/>
        <w:lang w:val="fr-FR"/>
      </w:rPr>
      <w:t xml:space="preserve">           </w:t>
    </w:r>
    <w:r>
      <w:rPr>
        <w:rFonts w:ascii="AvantGarde" w:hAnsi="AvantGarde"/>
        <w:sz w:val="19"/>
        <w:szCs w:val="19"/>
        <w:lang w:val="fr-FR"/>
      </w:rPr>
      <w:t xml:space="preserve">    </w:t>
    </w:r>
    <w:r w:rsidR="00727AB8">
      <w:rPr>
        <w:rFonts w:ascii="AvantGarde" w:hAnsi="AvantGarde"/>
        <w:sz w:val="19"/>
        <w:szCs w:val="19"/>
        <w:lang w:val="fr-FR"/>
      </w:rPr>
      <w:tab/>
    </w:r>
    <w:r w:rsidR="00727AB8" w:rsidRPr="00FA00D3">
      <w:rPr>
        <w:rFonts w:ascii="AvantGarde" w:hAnsi="AvantGarde"/>
        <w:sz w:val="20"/>
        <w:szCs w:val="20"/>
      </w:rPr>
      <w:fldChar w:fldCharType="begin"/>
    </w:r>
    <w:r w:rsidR="00727AB8" w:rsidRPr="00FA00D3">
      <w:rPr>
        <w:rFonts w:ascii="AvantGarde" w:hAnsi="AvantGarde"/>
        <w:sz w:val="20"/>
        <w:szCs w:val="20"/>
        <w:lang w:val="fr-FR"/>
      </w:rPr>
      <w:instrText xml:space="preserve"> PAGE   \* MERGEFORMAT </w:instrText>
    </w:r>
    <w:r w:rsidR="00727AB8" w:rsidRPr="00FA00D3">
      <w:rPr>
        <w:rFonts w:ascii="AvantGarde" w:hAnsi="AvantGarde"/>
        <w:sz w:val="20"/>
        <w:szCs w:val="20"/>
      </w:rPr>
      <w:fldChar w:fldCharType="separate"/>
    </w:r>
    <w:r w:rsidR="00325AB7">
      <w:rPr>
        <w:rFonts w:ascii="AvantGarde" w:hAnsi="AvantGarde"/>
        <w:noProof/>
        <w:sz w:val="20"/>
        <w:szCs w:val="20"/>
        <w:lang w:val="fr-FR"/>
      </w:rPr>
      <w:t>27</w:t>
    </w:r>
    <w:r w:rsidR="00727AB8" w:rsidRPr="00FA00D3">
      <w:rPr>
        <w:rFonts w:ascii="AvantGarde" w:hAnsi="AvantGarde"/>
        <w:noProof/>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3AEB9" w14:textId="77777777" w:rsidR="008B3CED" w:rsidRDefault="008B3CED" w:rsidP="008B3CED">
    <w:pPr>
      <w:pStyle w:val="Header"/>
      <w:pBdr>
        <w:bottom w:val="single" w:sz="8" w:space="1" w:color="auto"/>
      </w:pBdr>
      <w:tabs>
        <w:tab w:val="clear" w:pos="4680"/>
        <w:tab w:val="left" w:pos="1843"/>
      </w:tabs>
      <w:rPr>
        <w:rFonts w:ascii="AvantGarde" w:hAnsi="AvantGarde"/>
        <w:sz w:val="20"/>
        <w:szCs w:val="20"/>
      </w:rPr>
    </w:pPr>
  </w:p>
  <w:p w14:paraId="194C1D0C" w14:textId="15969A10" w:rsidR="00727AB8" w:rsidRPr="00EC2EE3" w:rsidRDefault="00727AB8" w:rsidP="00322A24">
    <w:pPr>
      <w:pStyle w:val="Header"/>
      <w:pBdr>
        <w:bottom w:val="single" w:sz="8" w:space="1" w:color="auto"/>
      </w:pBdr>
      <w:tabs>
        <w:tab w:val="clear" w:pos="4680"/>
        <w:tab w:val="left" w:pos="1843"/>
      </w:tabs>
      <w:spacing w:after="260" w:line="264" w:lineRule="auto"/>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325AB7">
      <w:rPr>
        <w:rFonts w:ascii="AvantGarde" w:hAnsi="AvantGarde"/>
        <w:noProof/>
        <w:sz w:val="20"/>
        <w:szCs w:val="20"/>
      </w:rPr>
      <w:t>32</w:t>
    </w:r>
    <w:r w:rsidRPr="00FA00D3">
      <w:rPr>
        <w:rFonts w:ascii="AvantGarde" w:hAnsi="AvantGarde"/>
        <w:noProof/>
        <w:sz w:val="20"/>
        <w:szCs w:val="20"/>
      </w:rPr>
      <w:fldChar w:fldCharType="end"/>
    </w:r>
    <w:r w:rsidRPr="00EC2EE3">
      <w:rPr>
        <w:rFonts w:ascii="UTM Aptima" w:hAnsi="UTM Aptima"/>
        <w:sz w:val="20"/>
        <w:szCs w:val="20"/>
      </w:rPr>
      <w:t xml:space="preserve"> </w:t>
    </w:r>
    <w:r>
      <w:rPr>
        <w:rFonts w:ascii="UTM Aptima" w:hAnsi="UTM Aptima"/>
        <w:sz w:val="20"/>
        <w:szCs w:val="20"/>
      </w:rPr>
      <w:t xml:space="preserve">          </w:t>
    </w:r>
    <w:r w:rsidRPr="008B3CED">
      <w:rPr>
        <w:rFonts w:ascii="UTM Aptima" w:hAnsi="UTM Aptima"/>
        <w:sz w:val="21"/>
        <w:szCs w:val="21"/>
        <w:lang w:val="fr-FR"/>
      </w:rPr>
      <w:t>Paul Souma Kanti et al</w:t>
    </w:r>
    <w:r w:rsidRPr="008B3CED">
      <w:rPr>
        <w:rStyle w:val="HeaderArticleChar"/>
        <w:spacing w:val="-4"/>
        <w:sz w:val="21"/>
      </w:rPr>
      <w:t xml:space="preserve">. </w:t>
    </w:r>
    <w:r w:rsidRPr="008B3CED">
      <w:rPr>
        <w:rStyle w:val="HeaderArticleChar"/>
        <w:i/>
        <w:sz w:val="21"/>
      </w:rPr>
      <w:t>HCMCOUJS-Economics and Business Administration</w:t>
    </w:r>
    <w:r w:rsidRPr="008B3CED">
      <w:rPr>
        <w:rFonts w:ascii="UTM Aptima" w:hAnsi="UTM Aptima"/>
        <w:i/>
        <w:spacing w:val="-4"/>
        <w:sz w:val="21"/>
        <w:szCs w:val="21"/>
        <w:lang w:val="fr-FR"/>
      </w:rPr>
      <w:t>, 12</w:t>
    </w:r>
    <w:r w:rsidRPr="008B3CED">
      <w:rPr>
        <w:rFonts w:ascii="UTM Aptima" w:hAnsi="UTM Aptima"/>
        <w:spacing w:val="-4"/>
        <w:sz w:val="21"/>
        <w:szCs w:val="21"/>
        <w:lang w:val="fr-FR"/>
      </w:rPr>
      <w:t>(2), 15-32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A8E59" w14:textId="77777777" w:rsidR="008B3CED" w:rsidRPr="008B3CED" w:rsidRDefault="008B3CED" w:rsidP="008B3CED">
    <w:pPr>
      <w:pStyle w:val="Header"/>
      <w:pBdr>
        <w:bottom w:val="single" w:sz="8" w:space="1" w:color="auto"/>
      </w:pBdr>
      <w:tabs>
        <w:tab w:val="clear" w:pos="4680"/>
        <w:tab w:val="center" w:pos="4395"/>
      </w:tabs>
      <w:rPr>
        <w:rFonts w:ascii="AvantGarde" w:hAnsi="AvantGarde"/>
        <w:sz w:val="20"/>
        <w:szCs w:val="20"/>
        <w:lang w:val="fr-FR"/>
      </w:rPr>
    </w:pPr>
  </w:p>
  <w:p w14:paraId="28BA20D0" w14:textId="1B790780" w:rsidR="00727AB8" w:rsidRPr="00322A24" w:rsidRDefault="00727AB8" w:rsidP="008B3CED">
    <w:pPr>
      <w:pStyle w:val="Header"/>
      <w:pBdr>
        <w:bottom w:val="single" w:sz="8" w:space="1" w:color="auto"/>
      </w:pBdr>
      <w:tabs>
        <w:tab w:val="clear" w:pos="4680"/>
        <w:tab w:val="center" w:pos="4536"/>
      </w:tabs>
      <w:spacing w:after="260" w:line="264" w:lineRule="auto"/>
      <w:rPr>
        <w:rFonts w:ascii="UTM Aptima" w:hAnsi="UTM Aptima"/>
        <w:sz w:val="20"/>
        <w:szCs w:val="20"/>
        <w:lang w:val="fr-FR"/>
      </w:rPr>
    </w:pPr>
    <w:r>
      <w:rPr>
        <w:rFonts w:ascii="UTM Aptima" w:hAnsi="UTM Aptima"/>
        <w:sz w:val="20"/>
        <w:szCs w:val="20"/>
        <w:lang w:val="fr-FR"/>
      </w:rPr>
      <w:t xml:space="preserve">       </w:t>
    </w:r>
    <w:r w:rsidR="008B3CED">
      <w:rPr>
        <w:rFonts w:ascii="UTM Aptima" w:hAnsi="UTM Aptima"/>
        <w:sz w:val="20"/>
        <w:szCs w:val="20"/>
        <w:lang w:val="fr-FR"/>
      </w:rPr>
      <w:t xml:space="preserve">   </w:t>
    </w:r>
    <w:r w:rsidRPr="008B3CED">
      <w:rPr>
        <w:rFonts w:ascii="UTM Aptima" w:hAnsi="UTM Aptima"/>
        <w:sz w:val="21"/>
        <w:szCs w:val="21"/>
        <w:lang w:val="fr-FR"/>
      </w:rPr>
      <w:t>Paul Souma Kanti et al</w:t>
    </w:r>
    <w:r w:rsidRPr="008B3CED">
      <w:rPr>
        <w:rStyle w:val="HeaderArticleChar"/>
        <w:spacing w:val="-4"/>
        <w:sz w:val="21"/>
      </w:rPr>
      <w:t xml:space="preserve">. </w:t>
    </w:r>
    <w:r w:rsidRPr="008B3CED">
      <w:rPr>
        <w:rStyle w:val="HeaderArticleChar"/>
        <w:i/>
        <w:sz w:val="21"/>
      </w:rPr>
      <w:t>HCMCOUJS-Economics and Business Administration</w:t>
    </w:r>
    <w:r w:rsidRPr="008B3CED">
      <w:rPr>
        <w:rFonts w:ascii="UTM Aptima" w:hAnsi="UTM Aptima"/>
        <w:i/>
        <w:spacing w:val="-4"/>
        <w:sz w:val="21"/>
        <w:szCs w:val="21"/>
        <w:lang w:val="fr-FR"/>
      </w:rPr>
      <w:t>, 12</w:t>
    </w:r>
    <w:r w:rsidRPr="008B3CED">
      <w:rPr>
        <w:rFonts w:ascii="UTM Aptima" w:hAnsi="UTM Aptima"/>
        <w:spacing w:val="-4"/>
        <w:sz w:val="21"/>
        <w:szCs w:val="21"/>
        <w:lang w:val="fr-FR"/>
      </w:rPr>
      <w:t>(2), 15-32</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325AB7">
      <w:rPr>
        <w:rFonts w:ascii="AvantGarde" w:hAnsi="AvantGarde"/>
        <w:noProof/>
        <w:sz w:val="20"/>
        <w:szCs w:val="20"/>
        <w:lang w:val="fr-FR"/>
      </w:rPr>
      <w:t>31</w:t>
    </w:r>
    <w:r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1"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4348"/>
    <w:multiLevelType w:val="multilevel"/>
    <w:tmpl w:val="D6C6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37C85"/>
    <w:multiLevelType w:val="multilevel"/>
    <w:tmpl w:val="C1DEEC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273652"/>
    <w:multiLevelType w:val="multilevel"/>
    <w:tmpl w:val="2FFA052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7"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9"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10"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11"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2"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3"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5"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5"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4"/>
  </w:num>
  <w:num w:numId="2">
    <w:abstractNumId w:val="22"/>
  </w:num>
  <w:num w:numId="3">
    <w:abstractNumId w:val="15"/>
  </w:num>
  <w:num w:numId="4">
    <w:abstractNumId w:val="9"/>
  </w:num>
  <w:num w:numId="5">
    <w:abstractNumId w:val="25"/>
  </w:num>
  <w:num w:numId="6">
    <w:abstractNumId w:val="1"/>
  </w:num>
  <w:num w:numId="7">
    <w:abstractNumId w:val="18"/>
  </w:num>
  <w:num w:numId="8">
    <w:abstractNumId w:val="23"/>
  </w:num>
  <w:num w:numId="9">
    <w:abstractNumId w:val="10"/>
  </w:num>
  <w:num w:numId="10">
    <w:abstractNumId w:val="3"/>
  </w:num>
  <w:num w:numId="11">
    <w:abstractNumId w:val="20"/>
  </w:num>
  <w:num w:numId="12">
    <w:abstractNumId w:val="11"/>
  </w:num>
  <w:num w:numId="13">
    <w:abstractNumId w:val="12"/>
  </w:num>
  <w:num w:numId="14">
    <w:abstractNumId w:val="0"/>
  </w:num>
  <w:num w:numId="15">
    <w:abstractNumId w:val="7"/>
  </w:num>
  <w:num w:numId="16">
    <w:abstractNumId w:val="17"/>
  </w:num>
  <w:num w:numId="17">
    <w:abstractNumId w:val="24"/>
  </w:num>
  <w:num w:numId="18">
    <w:abstractNumId w:val="6"/>
  </w:num>
  <w:num w:numId="19">
    <w:abstractNumId w:val="19"/>
  </w:num>
  <w:num w:numId="20">
    <w:abstractNumId w:val="16"/>
  </w:num>
  <w:num w:numId="21">
    <w:abstractNumId w:val="8"/>
  </w:num>
  <w:num w:numId="22">
    <w:abstractNumId w:val="13"/>
  </w:num>
  <w:num w:numId="23">
    <w:abstractNumId w:val="21"/>
  </w:num>
  <w:num w:numId="24">
    <w:abstractNumId w:val="2"/>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kwNKwFAD6RJz4tAAAA"/>
  </w:docVars>
  <w:rsids>
    <w:rsidRoot w:val="0064607F"/>
    <w:rsid w:val="00000191"/>
    <w:rsid w:val="000014BE"/>
    <w:rsid w:val="000040DB"/>
    <w:rsid w:val="000045B4"/>
    <w:rsid w:val="000045CC"/>
    <w:rsid w:val="0001606E"/>
    <w:rsid w:val="00020688"/>
    <w:rsid w:val="00020CD9"/>
    <w:rsid w:val="000214EC"/>
    <w:rsid w:val="00022DFE"/>
    <w:rsid w:val="00023104"/>
    <w:rsid w:val="000326CA"/>
    <w:rsid w:val="000342D6"/>
    <w:rsid w:val="00037C88"/>
    <w:rsid w:val="00041FAA"/>
    <w:rsid w:val="000453DD"/>
    <w:rsid w:val="0005129C"/>
    <w:rsid w:val="000524DD"/>
    <w:rsid w:val="00055D48"/>
    <w:rsid w:val="00065535"/>
    <w:rsid w:val="0007019C"/>
    <w:rsid w:val="0008261E"/>
    <w:rsid w:val="000827FC"/>
    <w:rsid w:val="0008624F"/>
    <w:rsid w:val="00094EDB"/>
    <w:rsid w:val="00095C15"/>
    <w:rsid w:val="000A3FAB"/>
    <w:rsid w:val="000A5A29"/>
    <w:rsid w:val="000A6BCC"/>
    <w:rsid w:val="000B4405"/>
    <w:rsid w:val="000B4F35"/>
    <w:rsid w:val="000B7B20"/>
    <w:rsid w:val="000C12ED"/>
    <w:rsid w:val="000C18AA"/>
    <w:rsid w:val="000C3E7A"/>
    <w:rsid w:val="000C460E"/>
    <w:rsid w:val="000C4B42"/>
    <w:rsid w:val="000D1C1C"/>
    <w:rsid w:val="000D3FFB"/>
    <w:rsid w:val="000E00D2"/>
    <w:rsid w:val="000E0FB6"/>
    <w:rsid w:val="000E33CC"/>
    <w:rsid w:val="000E5128"/>
    <w:rsid w:val="000F1F6A"/>
    <w:rsid w:val="000F4B2E"/>
    <w:rsid w:val="000F7706"/>
    <w:rsid w:val="00100FA5"/>
    <w:rsid w:val="00102126"/>
    <w:rsid w:val="001050EB"/>
    <w:rsid w:val="00110B7F"/>
    <w:rsid w:val="00113739"/>
    <w:rsid w:val="001150CF"/>
    <w:rsid w:val="00115FB2"/>
    <w:rsid w:val="00120B40"/>
    <w:rsid w:val="001223EF"/>
    <w:rsid w:val="00122768"/>
    <w:rsid w:val="00124D6F"/>
    <w:rsid w:val="00126D2E"/>
    <w:rsid w:val="00130835"/>
    <w:rsid w:val="00131243"/>
    <w:rsid w:val="00136BC4"/>
    <w:rsid w:val="00137096"/>
    <w:rsid w:val="00141AAF"/>
    <w:rsid w:val="0014510D"/>
    <w:rsid w:val="00145C81"/>
    <w:rsid w:val="00152CBB"/>
    <w:rsid w:val="00154CAD"/>
    <w:rsid w:val="0016256A"/>
    <w:rsid w:val="00162585"/>
    <w:rsid w:val="001627A6"/>
    <w:rsid w:val="00164715"/>
    <w:rsid w:val="0016479A"/>
    <w:rsid w:val="0017101E"/>
    <w:rsid w:val="001724C6"/>
    <w:rsid w:val="00172F1A"/>
    <w:rsid w:val="001801A4"/>
    <w:rsid w:val="0018365F"/>
    <w:rsid w:val="0018413F"/>
    <w:rsid w:val="00186100"/>
    <w:rsid w:val="00186427"/>
    <w:rsid w:val="0019038F"/>
    <w:rsid w:val="00195547"/>
    <w:rsid w:val="0019642E"/>
    <w:rsid w:val="001A25FA"/>
    <w:rsid w:val="001A3EEE"/>
    <w:rsid w:val="001A42B6"/>
    <w:rsid w:val="001A4BC6"/>
    <w:rsid w:val="001A5A2B"/>
    <w:rsid w:val="001A6AB1"/>
    <w:rsid w:val="001B1EE5"/>
    <w:rsid w:val="001B3C77"/>
    <w:rsid w:val="001B3E70"/>
    <w:rsid w:val="001B478C"/>
    <w:rsid w:val="001B69A2"/>
    <w:rsid w:val="001C30FE"/>
    <w:rsid w:val="001C480B"/>
    <w:rsid w:val="001C53EA"/>
    <w:rsid w:val="001D04D6"/>
    <w:rsid w:val="001D197C"/>
    <w:rsid w:val="001D240A"/>
    <w:rsid w:val="001D41AE"/>
    <w:rsid w:val="001D5099"/>
    <w:rsid w:val="001E0776"/>
    <w:rsid w:val="001E3338"/>
    <w:rsid w:val="001E6791"/>
    <w:rsid w:val="001E71C6"/>
    <w:rsid w:val="001F2FEC"/>
    <w:rsid w:val="002002DF"/>
    <w:rsid w:val="002005EA"/>
    <w:rsid w:val="002070A2"/>
    <w:rsid w:val="00222F8F"/>
    <w:rsid w:val="00223192"/>
    <w:rsid w:val="002255F5"/>
    <w:rsid w:val="00225DAD"/>
    <w:rsid w:val="00230B4E"/>
    <w:rsid w:val="00234EFA"/>
    <w:rsid w:val="00237C1D"/>
    <w:rsid w:val="0024052D"/>
    <w:rsid w:val="002413D8"/>
    <w:rsid w:val="002421B8"/>
    <w:rsid w:val="002522E2"/>
    <w:rsid w:val="002618AA"/>
    <w:rsid w:val="00262E3E"/>
    <w:rsid w:val="0026520C"/>
    <w:rsid w:val="002665B9"/>
    <w:rsid w:val="00266EC2"/>
    <w:rsid w:val="0026723B"/>
    <w:rsid w:val="002726DC"/>
    <w:rsid w:val="00272E31"/>
    <w:rsid w:val="0027589B"/>
    <w:rsid w:val="00276285"/>
    <w:rsid w:val="00282FBC"/>
    <w:rsid w:val="002844E7"/>
    <w:rsid w:val="00284866"/>
    <w:rsid w:val="002851E1"/>
    <w:rsid w:val="002906B5"/>
    <w:rsid w:val="00291B85"/>
    <w:rsid w:val="00295E98"/>
    <w:rsid w:val="0029613F"/>
    <w:rsid w:val="002964A1"/>
    <w:rsid w:val="002A1558"/>
    <w:rsid w:val="002A352C"/>
    <w:rsid w:val="002A3E0C"/>
    <w:rsid w:val="002A765A"/>
    <w:rsid w:val="002C4294"/>
    <w:rsid w:val="002C6946"/>
    <w:rsid w:val="002C7A61"/>
    <w:rsid w:val="002D08D7"/>
    <w:rsid w:val="002D0980"/>
    <w:rsid w:val="002D23C5"/>
    <w:rsid w:val="002D7DCB"/>
    <w:rsid w:val="002E0722"/>
    <w:rsid w:val="002E0B09"/>
    <w:rsid w:val="002E0D6F"/>
    <w:rsid w:val="002E2C3E"/>
    <w:rsid w:val="002E2D0D"/>
    <w:rsid w:val="002E321A"/>
    <w:rsid w:val="002E7E00"/>
    <w:rsid w:val="002F2535"/>
    <w:rsid w:val="002F28EC"/>
    <w:rsid w:val="002F2F33"/>
    <w:rsid w:val="002F54FE"/>
    <w:rsid w:val="00301DB3"/>
    <w:rsid w:val="00304A87"/>
    <w:rsid w:val="00310179"/>
    <w:rsid w:val="00313A30"/>
    <w:rsid w:val="00314B91"/>
    <w:rsid w:val="003159EA"/>
    <w:rsid w:val="0031635E"/>
    <w:rsid w:val="00316EC6"/>
    <w:rsid w:val="00322A24"/>
    <w:rsid w:val="00323112"/>
    <w:rsid w:val="003252EA"/>
    <w:rsid w:val="00325AB7"/>
    <w:rsid w:val="003264CC"/>
    <w:rsid w:val="00326A2E"/>
    <w:rsid w:val="00331771"/>
    <w:rsid w:val="0033196D"/>
    <w:rsid w:val="0033297A"/>
    <w:rsid w:val="00333E70"/>
    <w:rsid w:val="00337ABC"/>
    <w:rsid w:val="00343A05"/>
    <w:rsid w:val="003450EB"/>
    <w:rsid w:val="00346AD6"/>
    <w:rsid w:val="00350444"/>
    <w:rsid w:val="00350F84"/>
    <w:rsid w:val="00355CE4"/>
    <w:rsid w:val="00355F95"/>
    <w:rsid w:val="00370720"/>
    <w:rsid w:val="00371410"/>
    <w:rsid w:val="00371A02"/>
    <w:rsid w:val="003727DC"/>
    <w:rsid w:val="0037328A"/>
    <w:rsid w:val="00375039"/>
    <w:rsid w:val="00382070"/>
    <w:rsid w:val="00382776"/>
    <w:rsid w:val="00382A04"/>
    <w:rsid w:val="00382D4E"/>
    <w:rsid w:val="00383A04"/>
    <w:rsid w:val="00390699"/>
    <w:rsid w:val="0039163F"/>
    <w:rsid w:val="003918F4"/>
    <w:rsid w:val="00393B95"/>
    <w:rsid w:val="003A4878"/>
    <w:rsid w:val="003B0214"/>
    <w:rsid w:val="003B3695"/>
    <w:rsid w:val="003B419E"/>
    <w:rsid w:val="003B4A68"/>
    <w:rsid w:val="003B5AD0"/>
    <w:rsid w:val="003C0AC2"/>
    <w:rsid w:val="003C0DF3"/>
    <w:rsid w:val="003C25B2"/>
    <w:rsid w:val="003C354F"/>
    <w:rsid w:val="003C4C86"/>
    <w:rsid w:val="003C720F"/>
    <w:rsid w:val="003D5B0B"/>
    <w:rsid w:val="003D7960"/>
    <w:rsid w:val="003D79EF"/>
    <w:rsid w:val="003E0513"/>
    <w:rsid w:val="003E0D41"/>
    <w:rsid w:val="003E2D8A"/>
    <w:rsid w:val="003E4B5B"/>
    <w:rsid w:val="003E7477"/>
    <w:rsid w:val="003E760A"/>
    <w:rsid w:val="003E7978"/>
    <w:rsid w:val="003F3C13"/>
    <w:rsid w:val="003F6C5F"/>
    <w:rsid w:val="00400BC2"/>
    <w:rsid w:val="00402B95"/>
    <w:rsid w:val="00410C7E"/>
    <w:rsid w:val="004110AC"/>
    <w:rsid w:val="00415023"/>
    <w:rsid w:val="00425310"/>
    <w:rsid w:val="00426832"/>
    <w:rsid w:val="00435B3F"/>
    <w:rsid w:val="00443B53"/>
    <w:rsid w:val="00444F40"/>
    <w:rsid w:val="00447CDD"/>
    <w:rsid w:val="00450E46"/>
    <w:rsid w:val="00451300"/>
    <w:rsid w:val="00463D7D"/>
    <w:rsid w:val="004643D4"/>
    <w:rsid w:val="00466363"/>
    <w:rsid w:val="00467EC1"/>
    <w:rsid w:val="0047192F"/>
    <w:rsid w:val="0047645B"/>
    <w:rsid w:val="0048129D"/>
    <w:rsid w:val="00483075"/>
    <w:rsid w:val="00483EB9"/>
    <w:rsid w:val="0048504A"/>
    <w:rsid w:val="004855C5"/>
    <w:rsid w:val="004900C2"/>
    <w:rsid w:val="00490D0C"/>
    <w:rsid w:val="004A0BB3"/>
    <w:rsid w:val="004A19DD"/>
    <w:rsid w:val="004A7FFD"/>
    <w:rsid w:val="004B4B48"/>
    <w:rsid w:val="004C1D5E"/>
    <w:rsid w:val="004C5764"/>
    <w:rsid w:val="004C6105"/>
    <w:rsid w:val="004D0373"/>
    <w:rsid w:val="004D4AF5"/>
    <w:rsid w:val="004E4137"/>
    <w:rsid w:val="004F1974"/>
    <w:rsid w:val="004F1CD0"/>
    <w:rsid w:val="004F2E44"/>
    <w:rsid w:val="004F3E8E"/>
    <w:rsid w:val="004F5AE2"/>
    <w:rsid w:val="005040AC"/>
    <w:rsid w:val="00510F36"/>
    <w:rsid w:val="005127F1"/>
    <w:rsid w:val="005140DF"/>
    <w:rsid w:val="00520B35"/>
    <w:rsid w:val="005241C1"/>
    <w:rsid w:val="00527F51"/>
    <w:rsid w:val="00531FD6"/>
    <w:rsid w:val="00533BD3"/>
    <w:rsid w:val="00534EE7"/>
    <w:rsid w:val="00540831"/>
    <w:rsid w:val="0054127E"/>
    <w:rsid w:val="005415F1"/>
    <w:rsid w:val="00545C65"/>
    <w:rsid w:val="00556DD7"/>
    <w:rsid w:val="00557C88"/>
    <w:rsid w:val="0056390A"/>
    <w:rsid w:val="00564632"/>
    <w:rsid w:val="005671F8"/>
    <w:rsid w:val="00570ED3"/>
    <w:rsid w:val="00572CAA"/>
    <w:rsid w:val="00581ECB"/>
    <w:rsid w:val="00584674"/>
    <w:rsid w:val="00590576"/>
    <w:rsid w:val="00591FB0"/>
    <w:rsid w:val="005973BE"/>
    <w:rsid w:val="00597672"/>
    <w:rsid w:val="005A07CF"/>
    <w:rsid w:val="005A290D"/>
    <w:rsid w:val="005B0354"/>
    <w:rsid w:val="005B1AC3"/>
    <w:rsid w:val="005B734B"/>
    <w:rsid w:val="005D181E"/>
    <w:rsid w:val="005D3854"/>
    <w:rsid w:val="005D3A32"/>
    <w:rsid w:val="005D3F6F"/>
    <w:rsid w:val="005D719C"/>
    <w:rsid w:val="005E2317"/>
    <w:rsid w:val="005E3D00"/>
    <w:rsid w:val="005F1EDF"/>
    <w:rsid w:val="005F1F29"/>
    <w:rsid w:val="005F2B65"/>
    <w:rsid w:val="005F527F"/>
    <w:rsid w:val="005F63C2"/>
    <w:rsid w:val="006005EE"/>
    <w:rsid w:val="00602E6D"/>
    <w:rsid w:val="0060442E"/>
    <w:rsid w:val="00610B68"/>
    <w:rsid w:val="0061290B"/>
    <w:rsid w:val="006205E4"/>
    <w:rsid w:val="00620FCE"/>
    <w:rsid w:val="00622307"/>
    <w:rsid w:val="00623819"/>
    <w:rsid w:val="00625DB5"/>
    <w:rsid w:val="006304B5"/>
    <w:rsid w:val="006344EB"/>
    <w:rsid w:val="00635B23"/>
    <w:rsid w:val="006376DC"/>
    <w:rsid w:val="00641530"/>
    <w:rsid w:val="00642187"/>
    <w:rsid w:val="00645680"/>
    <w:rsid w:val="0064607F"/>
    <w:rsid w:val="00646AD4"/>
    <w:rsid w:val="00650E9A"/>
    <w:rsid w:val="00651922"/>
    <w:rsid w:val="006559E6"/>
    <w:rsid w:val="00656C7E"/>
    <w:rsid w:val="00662644"/>
    <w:rsid w:val="006642DA"/>
    <w:rsid w:val="00670B90"/>
    <w:rsid w:val="00672BFB"/>
    <w:rsid w:val="006731F9"/>
    <w:rsid w:val="006761AC"/>
    <w:rsid w:val="006769FA"/>
    <w:rsid w:val="00677AF3"/>
    <w:rsid w:val="00677B87"/>
    <w:rsid w:val="00686844"/>
    <w:rsid w:val="00696CAD"/>
    <w:rsid w:val="006A0BA4"/>
    <w:rsid w:val="006A45A0"/>
    <w:rsid w:val="006B0686"/>
    <w:rsid w:val="006B1C78"/>
    <w:rsid w:val="006B20DD"/>
    <w:rsid w:val="006B6A04"/>
    <w:rsid w:val="006C4103"/>
    <w:rsid w:val="006C5F16"/>
    <w:rsid w:val="006D124E"/>
    <w:rsid w:val="006D2BEB"/>
    <w:rsid w:val="006D4E2E"/>
    <w:rsid w:val="006E378A"/>
    <w:rsid w:val="006E676E"/>
    <w:rsid w:val="006F0CD5"/>
    <w:rsid w:val="007000A1"/>
    <w:rsid w:val="00700C4E"/>
    <w:rsid w:val="00703BC9"/>
    <w:rsid w:val="0070612B"/>
    <w:rsid w:val="00706416"/>
    <w:rsid w:val="00710AD0"/>
    <w:rsid w:val="00715BA4"/>
    <w:rsid w:val="00716E9D"/>
    <w:rsid w:val="00720515"/>
    <w:rsid w:val="00720B2E"/>
    <w:rsid w:val="00722EF0"/>
    <w:rsid w:val="0072527C"/>
    <w:rsid w:val="00727AB8"/>
    <w:rsid w:val="007331FC"/>
    <w:rsid w:val="00733B42"/>
    <w:rsid w:val="0074022F"/>
    <w:rsid w:val="007402AA"/>
    <w:rsid w:val="00742986"/>
    <w:rsid w:val="00745863"/>
    <w:rsid w:val="0074725C"/>
    <w:rsid w:val="00750074"/>
    <w:rsid w:val="007623F3"/>
    <w:rsid w:val="007661D3"/>
    <w:rsid w:val="00772CAC"/>
    <w:rsid w:val="00776867"/>
    <w:rsid w:val="0078014C"/>
    <w:rsid w:val="007812B4"/>
    <w:rsid w:val="0078239E"/>
    <w:rsid w:val="0078546C"/>
    <w:rsid w:val="007925A8"/>
    <w:rsid w:val="007976C7"/>
    <w:rsid w:val="007B1575"/>
    <w:rsid w:val="007B1D9B"/>
    <w:rsid w:val="007B47FF"/>
    <w:rsid w:val="007C31D3"/>
    <w:rsid w:val="007C461B"/>
    <w:rsid w:val="007C73B5"/>
    <w:rsid w:val="007D092F"/>
    <w:rsid w:val="007D1CA5"/>
    <w:rsid w:val="007D261C"/>
    <w:rsid w:val="007D2DAC"/>
    <w:rsid w:val="007D7C05"/>
    <w:rsid w:val="007E008C"/>
    <w:rsid w:val="007E0E3C"/>
    <w:rsid w:val="007E16B5"/>
    <w:rsid w:val="007E2077"/>
    <w:rsid w:val="007E43A3"/>
    <w:rsid w:val="007E4C72"/>
    <w:rsid w:val="007E7102"/>
    <w:rsid w:val="007F3480"/>
    <w:rsid w:val="007F4094"/>
    <w:rsid w:val="007F7642"/>
    <w:rsid w:val="00805A77"/>
    <w:rsid w:val="00807C32"/>
    <w:rsid w:val="00815D7F"/>
    <w:rsid w:val="008240AB"/>
    <w:rsid w:val="008267C2"/>
    <w:rsid w:val="00827507"/>
    <w:rsid w:val="00832FFD"/>
    <w:rsid w:val="008342E6"/>
    <w:rsid w:val="00835FC8"/>
    <w:rsid w:val="0083761D"/>
    <w:rsid w:val="008418C7"/>
    <w:rsid w:val="0084474F"/>
    <w:rsid w:val="00852A73"/>
    <w:rsid w:val="00854098"/>
    <w:rsid w:val="00863045"/>
    <w:rsid w:val="0086542C"/>
    <w:rsid w:val="008663F0"/>
    <w:rsid w:val="00880CC9"/>
    <w:rsid w:val="00887F5C"/>
    <w:rsid w:val="0089159D"/>
    <w:rsid w:val="00892ECD"/>
    <w:rsid w:val="0089498D"/>
    <w:rsid w:val="008963C3"/>
    <w:rsid w:val="00897812"/>
    <w:rsid w:val="008979A2"/>
    <w:rsid w:val="008A01E1"/>
    <w:rsid w:val="008A1361"/>
    <w:rsid w:val="008A2AE8"/>
    <w:rsid w:val="008B2A21"/>
    <w:rsid w:val="008B3CED"/>
    <w:rsid w:val="008B4FAB"/>
    <w:rsid w:val="008C004B"/>
    <w:rsid w:val="008C2B46"/>
    <w:rsid w:val="008C5464"/>
    <w:rsid w:val="008C54D4"/>
    <w:rsid w:val="008C5E28"/>
    <w:rsid w:val="008C5F77"/>
    <w:rsid w:val="008D1160"/>
    <w:rsid w:val="008D4C0E"/>
    <w:rsid w:val="008E2D5B"/>
    <w:rsid w:val="008E2FFE"/>
    <w:rsid w:val="008F14E7"/>
    <w:rsid w:val="008F1D72"/>
    <w:rsid w:val="008F302B"/>
    <w:rsid w:val="008F484D"/>
    <w:rsid w:val="008F56F8"/>
    <w:rsid w:val="008F7DFD"/>
    <w:rsid w:val="00901FBC"/>
    <w:rsid w:val="009032DF"/>
    <w:rsid w:val="00914DF4"/>
    <w:rsid w:val="00915C5D"/>
    <w:rsid w:val="009162FA"/>
    <w:rsid w:val="0092014A"/>
    <w:rsid w:val="00922F6F"/>
    <w:rsid w:val="00923031"/>
    <w:rsid w:val="00923D5A"/>
    <w:rsid w:val="009276B8"/>
    <w:rsid w:val="00927EA3"/>
    <w:rsid w:val="009317EB"/>
    <w:rsid w:val="00932AD8"/>
    <w:rsid w:val="00943A40"/>
    <w:rsid w:val="009449A3"/>
    <w:rsid w:val="00956478"/>
    <w:rsid w:val="00960A30"/>
    <w:rsid w:val="00960F39"/>
    <w:rsid w:val="0096750C"/>
    <w:rsid w:val="00970863"/>
    <w:rsid w:val="00970AB0"/>
    <w:rsid w:val="00970CA7"/>
    <w:rsid w:val="00981357"/>
    <w:rsid w:val="00982344"/>
    <w:rsid w:val="009841C3"/>
    <w:rsid w:val="00985252"/>
    <w:rsid w:val="00991A08"/>
    <w:rsid w:val="00992735"/>
    <w:rsid w:val="00994DDB"/>
    <w:rsid w:val="00996526"/>
    <w:rsid w:val="009A034A"/>
    <w:rsid w:val="009A0384"/>
    <w:rsid w:val="009A0466"/>
    <w:rsid w:val="009A0621"/>
    <w:rsid w:val="009A7DAA"/>
    <w:rsid w:val="009B304E"/>
    <w:rsid w:val="009B63AC"/>
    <w:rsid w:val="009B63C0"/>
    <w:rsid w:val="009C5868"/>
    <w:rsid w:val="009D3BEA"/>
    <w:rsid w:val="009D53BA"/>
    <w:rsid w:val="009E043D"/>
    <w:rsid w:val="009E1789"/>
    <w:rsid w:val="009E4DBD"/>
    <w:rsid w:val="009E74EF"/>
    <w:rsid w:val="009F16AE"/>
    <w:rsid w:val="009F47E3"/>
    <w:rsid w:val="00A001E0"/>
    <w:rsid w:val="00A01050"/>
    <w:rsid w:val="00A0614B"/>
    <w:rsid w:val="00A06C87"/>
    <w:rsid w:val="00A118A1"/>
    <w:rsid w:val="00A12C4E"/>
    <w:rsid w:val="00A174B5"/>
    <w:rsid w:val="00A205C6"/>
    <w:rsid w:val="00A21008"/>
    <w:rsid w:val="00A25A0D"/>
    <w:rsid w:val="00A25F37"/>
    <w:rsid w:val="00A30B5B"/>
    <w:rsid w:val="00A33A5E"/>
    <w:rsid w:val="00A40FB7"/>
    <w:rsid w:val="00A4378C"/>
    <w:rsid w:val="00A43F07"/>
    <w:rsid w:val="00A43F4A"/>
    <w:rsid w:val="00A44168"/>
    <w:rsid w:val="00A454B5"/>
    <w:rsid w:val="00A535A0"/>
    <w:rsid w:val="00A55ADA"/>
    <w:rsid w:val="00A57240"/>
    <w:rsid w:val="00A6583E"/>
    <w:rsid w:val="00A65B4C"/>
    <w:rsid w:val="00A7334A"/>
    <w:rsid w:val="00A7743C"/>
    <w:rsid w:val="00A8668D"/>
    <w:rsid w:val="00A902FE"/>
    <w:rsid w:val="00A9362C"/>
    <w:rsid w:val="00A94B61"/>
    <w:rsid w:val="00A95247"/>
    <w:rsid w:val="00A95ECF"/>
    <w:rsid w:val="00A9622F"/>
    <w:rsid w:val="00A962D4"/>
    <w:rsid w:val="00A966B7"/>
    <w:rsid w:val="00A96CDF"/>
    <w:rsid w:val="00AA55D4"/>
    <w:rsid w:val="00AA6891"/>
    <w:rsid w:val="00AA6897"/>
    <w:rsid w:val="00AA76F6"/>
    <w:rsid w:val="00AB0B90"/>
    <w:rsid w:val="00AB2A1B"/>
    <w:rsid w:val="00AB79BD"/>
    <w:rsid w:val="00AB7DE0"/>
    <w:rsid w:val="00AC5772"/>
    <w:rsid w:val="00AC5899"/>
    <w:rsid w:val="00AD3C17"/>
    <w:rsid w:val="00AE5797"/>
    <w:rsid w:val="00AE608F"/>
    <w:rsid w:val="00AF0DCE"/>
    <w:rsid w:val="00AF1FDE"/>
    <w:rsid w:val="00B01D7C"/>
    <w:rsid w:val="00B024A0"/>
    <w:rsid w:val="00B03857"/>
    <w:rsid w:val="00B03BC2"/>
    <w:rsid w:val="00B05A73"/>
    <w:rsid w:val="00B137F7"/>
    <w:rsid w:val="00B15389"/>
    <w:rsid w:val="00B243FE"/>
    <w:rsid w:val="00B24EA2"/>
    <w:rsid w:val="00B261AD"/>
    <w:rsid w:val="00B27C0C"/>
    <w:rsid w:val="00B310FF"/>
    <w:rsid w:val="00B31C33"/>
    <w:rsid w:val="00B31F82"/>
    <w:rsid w:val="00B3294A"/>
    <w:rsid w:val="00B372F7"/>
    <w:rsid w:val="00B4219F"/>
    <w:rsid w:val="00B421E2"/>
    <w:rsid w:val="00B42745"/>
    <w:rsid w:val="00B50CD4"/>
    <w:rsid w:val="00B52F64"/>
    <w:rsid w:val="00B56342"/>
    <w:rsid w:val="00B56ACD"/>
    <w:rsid w:val="00B60921"/>
    <w:rsid w:val="00B61765"/>
    <w:rsid w:val="00B62167"/>
    <w:rsid w:val="00B63381"/>
    <w:rsid w:val="00B667E1"/>
    <w:rsid w:val="00B74B61"/>
    <w:rsid w:val="00B77E54"/>
    <w:rsid w:val="00B8118B"/>
    <w:rsid w:val="00B8236D"/>
    <w:rsid w:val="00B82F88"/>
    <w:rsid w:val="00B83E70"/>
    <w:rsid w:val="00B84495"/>
    <w:rsid w:val="00B855F8"/>
    <w:rsid w:val="00B9031B"/>
    <w:rsid w:val="00B914C7"/>
    <w:rsid w:val="00B924A2"/>
    <w:rsid w:val="00B929B5"/>
    <w:rsid w:val="00B938E3"/>
    <w:rsid w:val="00BA08A1"/>
    <w:rsid w:val="00BA0FDD"/>
    <w:rsid w:val="00BA6528"/>
    <w:rsid w:val="00BB00A6"/>
    <w:rsid w:val="00BB2749"/>
    <w:rsid w:val="00BB63BD"/>
    <w:rsid w:val="00BC28E6"/>
    <w:rsid w:val="00BC6651"/>
    <w:rsid w:val="00BD1211"/>
    <w:rsid w:val="00BD313B"/>
    <w:rsid w:val="00BD3B90"/>
    <w:rsid w:val="00BD5C7B"/>
    <w:rsid w:val="00BE61A8"/>
    <w:rsid w:val="00BF017F"/>
    <w:rsid w:val="00BF0C74"/>
    <w:rsid w:val="00BF2577"/>
    <w:rsid w:val="00BF4CDE"/>
    <w:rsid w:val="00BF5B5E"/>
    <w:rsid w:val="00C00EC6"/>
    <w:rsid w:val="00C0369B"/>
    <w:rsid w:val="00C05CB6"/>
    <w:rsid w:val="00C06FE5"/>
    <w:rsid w:val="00C10FF7"/>
    <w:rsid w:val="00C14B3F"/>
    <w:rsid w:val="00C153DF"/>
    <w:rsid w:val="00C15FFC"/>
    <w:rsid w:val="00C20762"/>
    <w:rsid w:val="00C211ED"/>
    <w:rsid w:val="00C22FE3"/>
    <w:rsid w:val="00C33010"/>
    <w:rsid w:val="00C4118E"/>
    <w:rsid w:val="00C4453D"/>
    <w:rsid w:val="00C44653"/>
    <w:rsid w:val="00C451F9"/>
    <w:rsid w:val="00C45B09"/>
    <w:rsid w:val="00C46129"/>
    <w:rsid w:val="00C472EB"/>
    <w:rsid w:val="00C52D6E"/>
    <w:rsid w:val="00C5383C"/>
    <w:rsid w:val="00C56D5C"/>
    <w:rsid w:val="00C57E03"/>
    <w:rsid w:val="00C60D4B"/>
    <w:rsid w:val="00C6137C"/>
    <w:rsid w:val="00C65912"/>
    <w:rsid w:val="00C66953"/>
    <w:rsid w:val="00C710D0"/>
    <w:rsid w:val="00C7703B"/>
    <w:rsid w:val="00C77E0C"/>
    <w:rsid w:val="00C8174D"/>
    <w:rsid w:val="00C83A1E"/>
    <w:rsid w:val="00C842AF"/>
    <w:rsid w:val="00C849C8"/>
    <w:rsid w:val="00C85CA8"/>
    <w:rsid w:val="00C875E2"/>
    <w:rsid w:val="00C908F6"/>
    <w:rsid w:val="00C95948"/>
    <w:rsid w:val="00C97845"/>
    <w:rsid w:val="00CB2E9F"/>
    <w:rsid w:val="00CC0B3D"/>
    <w:rsid w:val="00CC4BC0"/>
    <w:rsid w:val="00CD24F2"/>
    <w:rsid w:val="00CD31A8"/>
    <w:rsid w:val="00CD7FC7"/>
    <w:rsid w:val="00CE06DA"/>
    <w:rsid w:val="00CE49CC"/>
    <w:rsid w:val="00CE605C"/>
    <w:rsid w:val="00CE6120"/>
    <w:rsid w:val="00CE787F"/>
    <w:rsid w:val="00CF0360"/>
    <w:rsid w:val="00CF1C28"/>
    <w:rsid w:val="00CF4FF5"/>
    <w:rsid w:val="00CF5E3F"/>
    <w:rsid w:val="00D00872"/>
    <w:rsid w:val="00D0774A"/>
    <w:rsid w:val="00D10548"/>
    <w:rsid w:val="00D17D96"/>
    <w:rsid w:val="00D21B82"/>
    <w:rsid w:val="00D24278"/>
    <w:rsid w:val="00D37004"/>
    <w:rsid w:val="00D407EB"/>
    <w:rsid w:val="00D40E0A"/>
    <w:rsid w:val="00D41CD2"/>
    <w:rsid w:val="00D41D1F"/>
    <w:rsid w:val="00D55E91"/>
    <w:rsid w:val="00D63DEA"/>
    <w:rsid w:val="00D6458A"/>
    <w:rsid w:val="00D65E20"/>
    <w:rsid w:val="00D703DC"/>
    <w:rsid w:val="00D7192D"/>
    <w:rsid w:val="00D721A6"/>
    <w:rsid w:val="00D743F3"/>
    <w:rsid w:val="00D80DFD"/>
    <w:rsid w:val="00D8176F"/>
    <w:rsid w:val="00D82E79"/>
    <w:rsid w:val="00D85648"/>
    <w:rsid w:val="00D920CD"/>
    <w:rsid w:val="00D928FB"/>
    <w:rsid w:val="00D96068"/>
    <w:rsid w:val="00DA0877"/>
    <w:rsid w:val="00DA78E8"/>
    <w:rsid w:val="00DB09C3"/>
    <w:rsid w:val="00DB349E"/>
    <w:rsid w:val="00DB48CD"/>
    <w:rsid w:val="00DB6D1E"/>
    <w:rsid w:val="00DC046E"/>
    <w:rsid w:val="00DC630D"/>
    <w:rsid w:val="00DC73C3"/>
    <w:rsid w:val="00DD3B93"/>
    <w:rsid w:val="00DD65B9"/>
    <w:rsid w:val="00DD6A7A"/>
    <w:rsid w:val="00DE07CB"/>
    <w:rsid w:val="00DE0C0D"/>
    <w:rsid w:val="00DE0EC0"/>
    <w:rsid w:val="00DE53D5"/>
    <w:rsid w:val="00DF0457"/>
    <w:rsid w:val="00DF0D81"/>
    <w:rsid w:val="00DF100B"/>
    <w:rsid w:val="00DF258B"/>
    <w:rsid w:val="00E0594E"/>
    <w:rsid w:val="00E10787"/>
    <w:rsid w:val="00E14AAB"/>
    <w:rsid w:val="00E14EC5"/>
    <w:rsid w:val="00E210FD"/>
    <w:rsid w:val="00E212FE"/>
    <w:rsid w:val="00E2491D"/>
    <w:rsid w:val="00E3309A"/>
    <w:rsid w:val="00E3342F"/>
    <w:rsid w:val="00E40DBE"/>
    <w:rsid w:val="00E4210A"/>
    <w:rsid w:val="00E42714"/>
    <w:rsid w:val="00E4334C"/>
    <w:rsid w:val="00E4405E"/>
    <w:rsid w:val="00E52491"/>
    <w:rsid w:val="00E52AB0"/>
    <w:rsid w:val="00E52CA3"/>
    <w:rsid w:val="00E53278"/>
    <w:rsid w:val="00E5491D"/>
    <w:rsid w:val="00E620B1"/>
    <w:rsid w:val="00E6555B"/>
    <w:rsid w:val="00E6703A"/>
    <w:rsid w:val="00E700CB"/>
    <w:rsid w:val="00E71BF3"/>
    <w:rsid w:val="00E824F6"/>
    <w:rsid w:val="00E84677"/>
    <w:rsid w:val="00E8651C"/>
    <w:rsid w:val="00E92ECB"/>
    <w:rsid w:val="00E931D6"/>
    <w:rsid w:val="00E94AEF"/>
    <w:rsid w:val="00EA0828"/>
    <w:rsid w:val="00EA34C3"/>
    <w:rsid w:val="00EA5570"/>
    <w:rsid w:val="00EA6275"/>
    <w:rsid w:val="00EA69B3"/>
    <w:rsid w:val="00EB3308"/>
    <w:rsid w:val="00EB6D4D"/>
    <w:rsid w:val="00EB7810"/>
    <w:rsid w:val="00EC0BF8"/>
    <w:rsid w:val="00EC2CE0"/>
    <w:rsid w:val="00EC2EE3"/>
    <w:rsid w:val="00EC5B6D"/>
    <w:rsid w:val="00EC6711"/>
    <w:rsid w:val="00ED0AE0"/>
    <w:rsid w:val="00ED0E8E"/>
    <w:rsid w:val="00ED4B7D"/>
    <w:rsid w:val="00ED650B"/>
    <w:rsid w:val="00EE2029"/>
    <w:rsid w:val="00EE50E9"/>
    <w:rsid w:val="00EE66DA"/>
    <w:rsid w:val="00F0342B"/>
    <w:rsid w:val="00F03EE1"/>
    <w:rsid w:val="00F07243"/>
    <w:rsid w:val="00F125AA"/>
    <w:rsid w:val="00F13537"/>
    <w:rsid w:val="00F14EB7"/>
    <w:rsid w:val="00F23AD1"/>
    <w:rsid w:val="00F25689"/>
    <w:rsid w:val="00F257BA"/>
    <w:rsid w:val="00F30054"/>
    <w:rsid w:val="00F3018F"/>
    <w:rsid w:val="00F30253"/>
    <w:rsid w:val="00F30F3A"/>
    <w:rsid w:val="00F31F9F"/>
    <w:rsid w:val="00F32407"/>
    <w:rsid w:val="00F351B4"/>
    <w:rsid w:val="00F42092"/>
    <w:rsid w:val="00F43534"/>
    <w:rsid w:val="00F45A76"/>
    <w:rsid w:val="00F45FE2"/>
    <w:rsid w:val="00F50CE7"/>
    <w:rsid w:val="00F51096"/>
    <w:rsid w:val="00F5165E"/>
    <w:rsid w:val="00F52C24"/>
    <w:rsid w:val="00F5597F"/>
    <w:rsid w:val="00F6434D"/>
    <w:rsid w:val="00F72C98"/>
    <w:rsid w:val="00F82FD4"/>
    <w:rsid w:val="00F83CB3"/>
    <w:rsid w:val="00F93691"/>
    <w:rsid w:val="00F93AC0"/>
    <w:rsid w:val="00F93E67"/>
    <w:rsid w:val="00F954AF"/>
    <w:rsid w:val="00FA00D3"/>
    <w:rsid w:val="00FA040B"/>
    <w:rsid w:val="00FA15BD"/>
    <w:rsid w:val="00FA233E"/>
    <w:rsid w:val="00FA5872"/>
    <w:rsid w:val="00FA588A"/>
    <w:rsid w:val="00FA64AE"/>
    <w:rsid w:val="00FB0512"/>
    <w:rsid w:val="00FB70DD"/>
    <w:rsid w:val="00FC1C06"/>
    <w:rsid w:val="00FC1D72"/>
    <w:rsid w:val="00FC1DBE"/>
    <w:rsid w:val="00FD17A8"/>
    <w:rsid w:val="00FD2CE1"/>
    <w:rsid w:val="00FD4DA6"/>
    <w:rsid w:val="00FD5BF7"/>
    <w:rsid w:val="00FE1C43"/>
    <w:rsid w:val="00FE48C4"/>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E4210A"/>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qFormat/>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iPriority w:val="99"/>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a">
    <w:name w:val="a"/>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0">
    <w:name w:val="a0"/>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1">
    <w:name w:val="a1"/>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2">
    <w:name w:val="a2"/>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710AD0"/>
    <w:rPr>
      <w:color w:val="605E5C"/>
      <w:shd w:val="clear" w:color="auto" w:fill="E1DFDD"/>
    </w:rPr>
  </w:style>
  <w:style w:type="table" w:customStyle="1" w:styleId="a3">
    <w:name w:val="a3"/>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styleId="GridTable1Light">
    <w:name w:val="Grid Table 1 Light"/>
    <w:basedOn w:val="TableNormal"/>
    <w:uiPriority w:val="46"/>
    <w:rsid w:val="00B924A2"/>
    <w:pPr>
      <w:widowControl/>
      <w:autoSpaceDE/>
      <w:autoSpaceDN/>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caption">
    <w:name w:val="tablecaption"/>
    <w:basedOn w:val="Normal"/>
    <w:next w:val="Normal"/>
    <w:rsid w:val="00B61765"/>
    <w:pPr>
      <w:keepNext/>
      <w:keepLines/>
      <w:widowControl/>
      <w:overflowPunct w:val="0"/>
      <w:adjustRightInd w:val="0"/>
      <w:spacing w:before="240" w:after="120" w:line="220" w:lineRule="atLeast"/>
      <w:contextualSpacing/>
      <w:jc w:val="center"/>
      <w:textAlignment w:val="baseline"/>
    </w:pPr>
    <w:rPr>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650">
      <w:bodyDiv w:val="1"/>
      <w:marLeft w:val="0"/>
      <w:marRight w:val="0"/>
      <w:marTop w:val="0"/>
      <w:marBottom w:val="0"/>
      <w:divBdr>
        <w:top w:val="none" w:sz="0" w:space="0" w:color="auto"/>
        <w:left w:val="none" w:sz="0" w:space="0" w:color="auto"/>
        <w:bottom w:val="none" w:sz="0" w:space="0" w:color="auto"/>
        <w:right w:val="none" w:sz="0" w:space="0" w:color="auto"/>
      </w:divBdr>
    </w:div>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49815546">
      <w:bodyDiv w:val="1"/>
      <w:marLeft w:val="0"/>
      <w:marRight w:val="0"/>
      <w:marTop w:val="0"/>
      <w:marBottom w:val="0"/>
      <w:divBdr>
        <w:top w:val="none" w:sz="0" w:space="0" w:color="auto"/>
        <w:left w:val="none" w:sz="0" w:space="0" w:color="auto"/>
        <w:bottom w:val="none" w:sz="0" w:space="0" w:color="auto"/>
        <w:right w:val="none" w:sz="0" w:space="0" w:color="auto"/>
      </w:divBdr>
      <w:divsChild>
        <w:div w:id="1443256676">
          <w:marLeft w:val="480"/>
          <w:marRight w:val="0"/>
          <w:marTop w:val="0"/>
          <w:marBottom w:val="0"/>
          <w:divBdr>
            <w:top w:val="none" w:sz="0" w:space="0" w:color="auto"/>
            <w:left w:val="none" w:sz="0" w:space="0" w:color="auto"/>
            <w:bottom w:val="none" w:sz="0" w:space="0" w:color="auto"/>
            <w:right w:val="none" w:sz="0" w:space="0" w:color="auto"/>
          </w:divBdr>
          <w:divsChild>
            <w:div w:id="12429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1355628">
      <w:bodyDiv w:val="1"/>
      <w:marLeft w:val="0"/>
      <w:marRight w:val="0"/>
      <w:marTop w:val="0"/>
      <w:marBottom w:val="0"/>
      <w:divBdr>
        <w:top w:val="none" w:sz="0" w:space="0" w:color="auto"/>
        <w:left w:val="none" w:sz="0" w:space="0" w:color="auto"/>
        <w:bottom w:val="none" w:sz="0" w:space="0" w:color="auto"/>
        <w:right w:val="none" w:sz="0" w:space="0" w:color="auto"/>
      </w:divBdr>
      <w:divsChild>
        <w:div w:id="530580144">
          <w:marLeft w:val="480"/>
          <w:marRight w:val="0"/>
          <w:marTop w:val="0"/>
          <w:marBottom w:val="0"/>
          <w:divBdr>
            <w:top w:val="none" w:sz="0" w:space="0" w:color="auto"/>
            <w:left w:val="none" w:sz="0" w:space="0" w:color="auto"/>
            <w:bottom w:val="none" w:sz="0" w:space="0" w:color="auto"/>
            <w:right w:val="none" w:sz="0" w:space="0" w:color="auto"/>
          </w:divBdr>
          <w:divsChild>
            <w:div w:id="20757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13435623">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nb.com/content/dam/english/economic-and-industry-insight/DNB_Business_Impact_of_the_Coronavirus_U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08/14635771311299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C4D0BB21-1ECA-4208-B481-F6B0777D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6660</Words>
  <Characters>37963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2022-03-19T08:07:00Z</dcterms:created>
  <dcterms:modified xsi:type="dcterms:W3CDTF">2022-08-22T01:44:00Z</dcterms:modified>
</cp:coreProperties>
</file>